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220" w:type="dxa"/>
        <w:tblBorders>
          <w:top w:val="nil"/>
          <w:left w:val="single" w:sz="24" w:space="0" w:color="1F6B66"/>
          <w:bottom w:val="nil"/>
          <w:right w:val="nil"/>
          <w:insideH w:val="nil"/>
          <w:insideV w:val="nil"/>
        </w:tblBorders>
        <w:tblCellMar>
          <w:left w:w="10" w:type="dxa"/>
          <w:right w:w="10" w:type="dxa"/>
        </w:tblCellMar>
        <w:tblLook w:val="0000" w:firstRow="0" w:lastRow="0" w:firstColumn="0" w:lastColumn="0" w:noHBand="0" w:noVBand="0"/>
      </w:tblPr>
      <w:tblGrid>
        <w:gridCol w:w="8996"/>
      </w:tblGrid>
      <w:tr w:rsidR="00CB697F" w14:paraId="5EEE0215" w14:textId="77777777">
        <w:tc>
          <w:tcPr>
            <w:tcW w:w="9026" w:type="dxa"/>
            <w:shd w:val="clear" w:color="auto" w:fill="F2F7F6"/>
            <w:tcMar>
              <w:top w:w="140" w:type="dxa"/>
              <w:left w:w="220" w:type="dxa"/>
              <w:bottom w:w="140" w:type="dxa"/>
            </w:tcMar>
          </w:tcPr>
          <w:p w14:paraId="21B0FEE6" w14:textId="77777777" w:rsidR="00CB697F" w:rsidRDefault="00000000">
            <w:pPr>
              <w:spacing w:after="80"/>
            </w:pPr>
            <w:r>
              <w:rPr>
                <w:b/>
                <w:color w:val="1F6B66"/>
                <w:spacing w:val="30"/>
                <w:sz w:val="20"/>
              </w:rPr>
              <w:t>MEMO 05 — HYGIÈNE CHR</w:t>
            </w:r>
          </w:p>
          <w:p w14:paraId="1E2F7C0C" w14:textId="77777777" w:rsidR="00CB697F" w:rsidRDefault="00000000">
            <w:pPr>
              <w:spacing w:after="80"/>
            </w:pPr>
            <w:r>
              <w:rPr>
                <w:b/>
                <w:sz w:val="44"/>
              </w:rPr>
              <w:t>CONTRÔLE DES HUILES DE FRITURE</w:t>
            </w:r>
          </w:p>
          <w:p w14:paraId="1EB69E92" w14:textId="77777777" w:rsidR="00CB697F" w:rsidRDefault="00000000">
            <w:r>
              <w:rPr>
                <w:color w:val="55706C"/>
              </w:rPr>
              <w:t>Mesurer et consigner le niveau d'oxydation et l'état de propreté des graisses de friture d'un service — bandelettes colorimétriques et testeur d'huile électronique.</w:t>
            </w:r>
          </w:p>
        </w:tc>
      </w:tr>
    </w:tbl>
    <w:p w14:paraId="6BD2BE90" w14:textId="77777777" w:rsidR="00CB697F" w:rsidRDefault="00000000">
      <w:pPr>
        <w:spacing w:after="120"/>
      </w:pPr>
      <w:r>
        <w:rPr>
          <w:color w:val="8AA39F"/>
          <w:sz w:val="17"/>
        </w:rPr>
        <w:t xml:space="preserve">Version </w:t>
      </w:r>
      <w:proofErr w:type="gramStart"/>
      <w:r>
        <w:rPr>
          <w:color w:val="8AA39F"/>
          <w:sz w:val="17"/>
        </w:rPr>
        <w:t>1.0  ·</w:t>
      </w:r>
      <w:proofErr w:type="gramEnd"/>
      <w:r>
        <w:rPr>
          <w:color w:val="8AA39F"/>
          <w:sz w:val="17"/>
        </w:rPr>
        <w:t xml:space="preserve">  À afficher en cuisine et à joindre au plan </w:t>
      </w:r>
      <w:proofErr w:type="gramStart"/>
      <w:r>
        <w:rPr>
          <w:color w:val="8AA39F"/>
          <w:sz w:val="17"/>
        </w:rPr>
        <w:t>HACCP  ·</w:t>
      </w:r>
      <w:proofErr w:type="gramEnd"/>
      <w:r>
        <w:rPr>
          <w:color w:val="8AA39F"/>
          <w:sz w:val="17"/>
        </w:rPr>
        <w:t xml:space="preserve">  Responsable : le chef de cuisine / le gérant</w:t>
      </w:r>
    </w:p>
    <w:p w14:paraId="0EE5797A" w14:textId="77777777" w:rsidR="00CB697F" w:rsidRDefault="00000000">
      <w:pPr>
        <w:pStyle w:val="Titre1"/>
      </w:pPr>
      <w:r>
        <w:t>1. Pourquoi contrôler l'huile de friture ?</w:t>
      </w:r>
    </w:p>
    <w:p w14:paraId="1471E4CF" w14:textId="77777777" w:rsidR="00CB697F" w:rsidRDefault="00000000">
      <w:r>
        <w:t>En cours de friture, l'huile subit trois dégradations principales : l'oxydation (contact avec l'air), l'hydrolyse (humidité des aliments, qui libère des acides gras) et la polymérisation thermique (températures élevées répétées). Il se forme alors des peroxydes, des acides gras libres et des composés polaires (TPM) dont certains sont nocifs pour la santé.</w:t>
      </w:r>
    </w:p>
    <w:p w14:paraId="7063A879" w14:textId="77777777" w:rsidR="00CB697F" w:rsidRDefault="00000000">
      <w:r>
        <w:t>Une huile altérée se reconnaît aussi à l'œil et au nez : couleur foncée, mousse persistante, fumée précoce, viscosité, odeur âcre, goût de brûlé sur les produits. Ces signes arrivent souvent tard : seule une mesure objective permet de décider du remplacement au bon moment.</w:t>
      </w:r>
    </w:p>
    <w:p w14:paraId="3A430A8A" w14:textId="77777777" w:rsidR="00CB697F" w:rsidRDefault="00000000">
      <w:pPr>
        <w:numPr>
          <w:ilvl w:val="0"/>
          <w:numId w:val="2"/>
        </w:numPr>
        <w:spacing w:after="100"/>
      </w:pPr>
      <w:r>
        <w:t>Sécurité sanitaire : limiter les composés de dégradation (acrylamide favorisée, composés polaires, peroxydes) dans les produits frits.</w:t>
      </w:r>
    </w:p>
    <w:p w14:paraId="38F82F38" w14:textId="77777777" w:rsidR="00CB697F" w:rsidRDefault="00000000">
      <w:pPr>
        <w:numPr>
          <w:ilvl w:val="0"/>
          <w:numId w:val="2"/>
        </w:numPr>
        <w:spacing w:after="100"/>
      </w:pPr>
      <w:r>
        <w:t>Qualité gustative : une huile fatiguée donne des fritures grasses, sombres et au goût altéré.</w:t>
      </w:r>
    </w:p>
    <w:p w14:paraId="24383E14" w14:textId="77777777" w:rsidR="00CB697F" w:rsidRDefault="00000000">
      <w:pPr>
        <w:numPr>
          <w:ilvl w:val="0"/>
          <w:numId w:val="2"/>
        </w:numPr>
        <w:spacing w:after="100"/>
      </w:pPr>
      <w:r>
        <w:t>Conformité HACCP : le contrôle des huiles fait partie des points de surveillance à documenter (registre, traçabilité) en cas de contrôle des services d'hygiène.</w:t>
      </w:r>
    </w:p>
    <w:p w14:paraId="1CB24ABA" w14:textId="77777777" w:rsidR="00CB697F" w:rsidRDefault="00000000">
      <w:pPr>
        <w:numPr>
          <w:ilvl w:val="0"/>
          <w:numId w:val="2"/>
        </w:numPr>
        <w:spacing w:after="100"/>
      </w:pPr>
      <w:r>
        <w:t>Économie : changer l'huile ni trop tôt (gaspillage) ni trop tard (risque sanitaire et mauvaise qualité).</w:t>
      </w:r>
    </w:p>
    <w:p w14:paraId="7EE983A7" w14:textId="77777777" w:rsidR="00CB697F" w:rsidRDefault="00000000">
      <w:pPr>
        <w:pStyle w:val="Titre1"/>
      </w:pPr>
      <w:r>
        <w:t>2. Quand contrôler ?</w:t>
      </w:r>
    </w:p>
    <w:p w14:paraId="5F6CA5D0" w14:textId="77777777" w:rsidR="00CB697F" w:rsidRDefault="00000000">
      <w:pPr>
        <w:numPr>
          <w:ilvl w:val="0"/>
          <w:numId w:val="2"/>
        </w:numPr>
        <w:spacing w:after="100"/>
      </w:pPr>
      <w:r>
        <w:t>Chaque jour de service, avant la première friture, huile à température de fonctionnement.</w:t>
      </w:r>
    </w:p>
    <w:p w14:paraId="6621F80C" w14:textId="77777777" w:rsidR="00CB697F" w:rsidRDefault="00000000">
      <w:pPr>
        <w:numPr>
          <w:ilvl w:val="0"/>
          <w:numId w:val="2"/>
        </w:numPr>
        <w:spacing w:after="100"/>
      </w:pPr>
      <w:r>
        <w:t>Après chaque filtration, pour vérifier l'efficacité du nettoyage.</w:t>
      </w:r>
    </w:p>
    <w:p w14:paraId="4035DC3F" w14:textId="77777777" w:rsidR="00CB697F" w:rsidRDefault="00000000">
      <w:pPr>
        <w:numPr>
          <w:ilvl w:val="0"/>
          <w:numId w:val="2"/>
        </w:numPr>
        <w:spacing w:after="100"/>
      </w:pPr>
      <w:r>
        <w:t>Après un service intensif (forte cadence, produits panés, aliments très humides).</w:t>
      </w:r>
    </w:p>
    <w:p w14:paraId="6D4F2856" w14:textId="77777777" w:rsidR="00CB697F" w:rsidRDefault="00000000">
      <w:pPr>
        <w:numPr>
          <w:ilvl w:val="0"/>
          <w:numId w:val="2"/>
        </w:numPr>
        <w:spacing w:after="100"/>
      </w:pPr>
      <w:r>
        <w:t xml:space="preserve">À chaque doute : odeur, couleur, mousse, </w:t>
      </w:r>
      <w:proofErr w:type="gramStart"/>
      <w:r>
        <w:t>fumée inhabituelles</w:t>
      </w:r>
      <w:proofErr w:type="gramEnd"/>
      <w:r>
        <w:t>.</w:t>
      </w:r>
    </w:p>
    <w:p w14:paraId="10CB6813" w14:textId="77777777" w:rsidR="00CB697F" w:rsidRDefault="00000000">
      <w:r>
        <w:t>Fréquence minimale recommandée : 1 contrôle par jour et par friteuse, consigné dans le registre (voir § 6).</w:t>
      </w:r>
    </w:p>
    <w:p w14:paraId="66646C0E" w14:textId="77777777" w:rsidR="00CB697F" w:rsidRDefault="00000000">
      <w:pPr>
        <w:pStyle w:val="Titre1"/>
      </w:pPr>
      <w:r>
        <w:lastRenderedPageBreak/>
        <w:t>3. Méthode 1 — Les bandelettes colorimétriques</w:t>
      </w:r>
    </w:p>
    <w:p w14:paraId="3592360B" w14:textId="77777777" w:rsidR="00CB697F" w:rsidRDefault="00000000">
      <w:r>
        <w:t>Les bandelettes de test (type V-OIL STRIP) mesurent l'indice d'acidité de l'huile, exprimé en mg de KOH par gramme (A.V. / KOH mg/g), c'est-à-dire la quantité d'acides gras libres formés par hydrolyse et oxydation. La bandelette vire du bleu-vert au vert clair selon le taux d'acidité.</w:t>
      </w:r>
    </w:p>
    <w:p w14:paraId="45301F7C" w14:textId="77777777" w:rsidR="00CB697F" w:rsidRDefault="00000000">
      <w:pPr>
        <w:pStyle w:val="Titre2"/>
      </w:pPr>
      <w:r>
        <w:t>Mode d'emploi</w:t>
      </w:r>
    </w:p>
    <w:p w14:paraId="6234A991" w14:textId="77777777" w:rsidR="00CB697F" w:rsidRDefault="00000000">
      <w:pPr>
        <w:numPr>
          <w:ilvl w:val="0"/>
          <w:numId w:val="1"/>
        </w:numPr>
        <w:spacing w:after="100"/>
      </w:pPr>
      <w:r>
        <w:t>Porter des gants et vérifier que l'huile est en température de service (environ 160 à 175 °C), bien homogénéisée.</w:t>
      </w:r>
    </w:p>
    <w:p w14:paraId="195A117F" w14:textId="77777777" w:rsidR="00CB697F" w:rsidRDefault="00000000">
      <w:pPr>
        <w:numPr>
          <w:ilvl w:val="0"/>
          <w:numId w:val="1"/>
        </w:numPr>
        <w:spacing w:after="100"/>
      </w:pPr>
      <w:r>
        <w:t>Sortir une bandelette du flacon et refermer immédiatement celui-ci (les bandelettes sont sensibles à l'humidité et à la lumière).</w:t>
      </w:r>
    </w:p>
    <w:p w14:paraId="2F5DE53E" w14:textId="77777777" w:rsidR="00CB697F" w:rsidRDefault="00000000">
      <w:pPr>
        <w:numPr>
          <w:ilvl w:val="0"/>
          <w:numId w:val="1"/>
        </w:numPr>
        <w:spacing w:after="100"/>
      </w:pPr>
      <w:r>
        <w:t>Plonger la zone réactive dans l'huile pendant 1 à 2 secondes, sans toucher la cuve ni la résistance.</w:t>
      </w:r>
    </w:p>
    <w:p w14:paraId="40304687" w14:textId="77777777" w:rsidR="00CB697F" w:rsidRDefault="00000000">
      <w:pPr>
        <w:numPr>
          <w:ilvl w:val="0"/>
          <w:numId w:val="1"/>
        </w:numPr>
        <w:spacing w:after="100"/>
      </w:pPr>
      <w:r>
        <w:t>Égoutter, poser la bandelette sur un papier absorbant et attendre le temps de réaction indiqué par le fabricant (environ 30 secondes).</w:t>
      </w:r>
    </w:p>
    <w:p w14:paraId="170E7C11" w14:textId="77777777" w:rsidR="00CB697F" w:rsidRDefault="00000000">
      <w:pPr>
        <w:numPr>
          <w:ilvl w:val="0"/>
          <w:numId w:val="1"/>
        </w:numPr>
        <w:spacing w:after="100"/>
      </w:pPr>
      <w:r>
        <w:t>Comparer la couleur obtenue à l'échelle imprimée sur le flacon, sous un bon éclairage, et relever la valeur la plus proche.</w:t>
      </w:r>
    </w:p>
    <w:p w14:paraId="21BA558B" w14:textId="77777777" w:rsidR="00CB697F" w:rsidRDefault="00000000">
      <w:pPr>
        <w:numPr>
          <w:ilvl w:val="0"/>
          <w:numId w:val="1"/>
        </w:numPr>
        <w:spacing w:after="100"/>
      </w:pPr>
      <w:r>
        <w:t>Consigner le résultat dans le registre de contrôle (voir § 6).</w:t>
      </w:r>
    </w:p>
    <w:p w14:paraId="04708646" w14:textId="77777777" w:rsidR="00CB697F" w:rsidRDefault="00000000">
      <w:pPr>
        <w:pStyle w:val="Titre2"/>
      </w:pPr>
      <w:r>
        <w:t>Lecture de l'échelle colorimétrique</w:t>
      </w:r>
    </w:p>
    <w:p w14:paraId="6BDBD78F" w14:textId="77777777" w:rsidR="00CB697F" w:rsidRDefault="00000000">
      <w:r>
        <w:t>L'échelle comporte 7 repères, de 0 à 5,0 mg KOH/g :</w:t>
      </w:r>
    </w:p>
    <w:p w14:paraId="6BE988A0" w14:textId="77777777" w:rsidR="00CB697F" w:rsidRDefault="00000000">
      <w:pPr>
        <w:numPr>
          <w:ilvl w:val="0"/>
          <w:numId w:val="2"/>
        </w:numPr>
        <w:spacing w:after="100"/>
      </w:pPr>
      <w:r>
        <w:t>IDÉAL (0 · 0,3 · 0,5) : huile saine, poursuite normale de l'utilisation.</w:t>
      </w:r>
    </w:p>
    <w:p w14:paraId="792B4FBE" w14:textId="77777777" w:rsidR="00CB697F" w:rsidRDefault="00000000">
      <w:pPr>
        <w:numPr>
          <w:ilvl w:val="0"/>
          <w:numId w:val="2"/>
        </w:numPr>
        <w:spacing w:after="100"/>
      </w:pPr>
      <w:r>
        <w:t>ATTENTION / CAUTION (1,5 · 2,5) : huile entamée — filtrer, resserrer la fréquence des contrôles et préparer le remplacement.</w:t>
      </w:r>
    </w:p>
    <w:p w14:paraId="0D9F2257" w14:textId="77777777" w:rsidR="00CB697F" w:rsidRDefault="00000000">
      <w:pPr>
        <w:numPr>
          <w:ilvl w:val="0"/>
          <w:numId w:val="2"/>
        </w:numPr>
        <w:spacing w:after="100"/>
      </w:pPr>
      <w:r>
        <w:t>MAUVAIS / BAD (3,0 · 5,0) : huile dégradée — remplacement immédiat obligatoire.</w:t>
      </w:r>
    </w:p>
    <w:p w14:paraId="2CF50FE4" w14:textId="77777777" w:rsidR="00CB697F" w:rsidRDefault="00000000">
      <w:pPr>
        <w:keepNext/>
        <w:spacing w:before="200" w:after="80"/>
        <w:jc w:val="center"/>
      </w:pPr>
      <w:r>
        <w:rPr>
          <w:noProof/>
        </w:rPr>
        <w:drawing>
          <wp:inline distT="0" distB="0" distL="0" distR="0" wp14:anchorId="470800AA" wp14:editId="190E486B">
            <wp:extent cx="5400000" cy="2497826"/>
            <wp:effectExtent l="0" t="0" r="0" b="0"/>
            <wp:docPr id="1" name="Bandelettes V-OIL STRIP et échelle colorimétr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lettes V-OIL STRIP et échelle colorimétrique.png"/>
                    <pic:cNvPicPr/>
                  </pic:nvPicPr>
                  <pic:blipFill>
                    <a:blip r:embed="rId7"/>
                    <a:stretch>
                      <a:fillRect/>
                    </a:stretch>
                  </pic:blipFill>
                  <pic:spPr>
                    <a:xfrm>
                      <a:off x="0" y="0"/>
                      <a:ext cx="5400000" cy="2497826"/>
                    </a:xfrm>
                    <a:prstGeom prst="rect">
                      <a:avLst/>
                    </a:prstGeom>
                  </pic:spPr>
                </pic:pic>
              </a:graphicData>
            </a:graphic>
          </wp:inline>
        </w:drawing>
      </w:r>
    </w:p>
    <w:p w14:paraId="506F5EB7" w14:textId="77777777" w:rsidR="00CB697F" w:rsidRDefault="00000000">
      <w:pPr>
        <w:pStyle w:val="Lgende"/>
      </w:pPr>
      <w:r>
        <w:t>Bandelettes de test (type V-OIL STRIP) : flacon de 50 tests, bandelettes et échelle de lecture 0 à 5,0 mg KOH/g.</w:t>
      </w:r>
    </w:p>
    <w:p w14:paraId="5B9177DB" w14:textId="77777777" w:rsidR="00CB697F" w:rsidRDefault="00000000">
      <w:pPr>
        <w:pStyle w:val="Titre1"/>
      </w:pPr>
      <w:r>
        <w:lastRenderedPageBreak/>
        <w:t>4. Méthode 2 — Le testeur d'huile électronique</w:t>
      </w:r>
    </w:p>
    <w:p w14:paraId="76B0038B" w14:textId="77777777" w:rsidR="00CB697F" w:rsidRDefault="00000000">
      <w:r>
        <w:t xml:space="preserve">Le testeur d'huile (type </w:t>
      </w:r>
      <w:proofErr w:type="spellStart"/>
      <w:r>
        <w:t>testo</w:t>
      </w:r>
      <w:proofErr w:type="spellEnd"/>
      <w:r>
        <w:t xml:space="preserve"> 270 BT) mesure directement le pourcentage de composés polaires totaux (% TPM — Total Polar Materials), le marqueur de référence de la dégradation thermique de l'huile, ainsi que la température du bain de friture. L'écran affiche un code couleur : vert, orange ou rouge.</w:t>
      </w:r>
    </w:p>
    <w:p w14:paraId="5984D66B" w14:textId="77777777" w:rsidR="00CB697F" w:rsidRDefault="00000000">
      <w:pPr>
        <w:pStyle w:val="Titre2"/>
      </w:pPr>
      <w:r>
        <w:t>Mode d'emploi</w:t>
      </w:r>
    </w:p>
    <w:p w14:paraId="5822A880" w14:textId="77777777" w:rsidR="00CB697F" w:rsidRDefault="00000000">
      <w:pPr>
        <w:numPr>
          <w:ilvl w:val="0"/>
          <w:numId w:val="3"/>
        </w:numPr>
        <w:spacing w:after="100"/>
      </w:pPr>
      <w:r>
        <w:t>Allumer l'appareil et vérifier la propreté de la sonde (nettoyée et séchée après le contrôle précédent).</w:t>
      </w:r>
    </w:p>
    <w:p w14:paraId="44A72A57" w14:textId="77777777" w:rsidR="00CB697F" w:rsidRDefault="00000000">
      <w:pPr>
        <w:numPr>
          <w:ilvl w:val="0"/>
          <w:numId w:val="3"/>
        </w:numPr>
        <w:spacing w:after="100"/>
      </w:pPr>
      <w:r>
        <w:t>Plonger la sonde au centre du bain d'huile chaude, entre les paniers, en évitant le contact avec les parois et la résistance.</w:t>
      </w:r>
    </w:p>
    <w:p w14:paraId="5C101E66" w14:textId="77777777" w:rsidR="00CB697F" w:rsidRDefault="00000000">
      <w:pPr>
        <w:numPr>
          <w:ilvl w:val="0"/>
          <w:numId w:val="3"/>
        </w:numPr>
        <w:spacing w:after="100"/>
      </w:pPr>
      <w:r>
        <w:t>Imprimer un lent mouvement circulaire pour homogénéiser et attendre la stabilisation de la mesure.</w:t>
      </w:r>
    </w:p>
    <w:p w14:paraId="716B243D" w14:textId="77777777" w:rsidR="00CB697F" w:rsidRDefault="00000000">
      <w:pPr>
        <w:numPr>
          <w:ilvl w:val="0"/>
          <w:numId w:val="3"/>
        </w:numPr>
        <w:spacing w:after="100"/>
      </w:pPr>
      <w:r>
        <w:t xml:space="preserve">Lire le % TPM et </w:t>
      </w:r>
      <w:proofErr w:type="gramStart"/>
      <w:r>
        <w:t>la température affichés</w:t>
      </w:r>
      <w:proofErr w:type="gramEnd"/>
      <w:r>
        <w:t xml:space="preserve"> ; utiliser la touche HOLD pour figer la valeur si nécessaire.</w:t>
      </w:r>
    </w:p>
    <w:p w14:paraId="365A3BA9" w14:textId="77777777" w:rsidR="00CB697F" w:rsidRDefault="00000000">
      <w:pPr>
        <w:numPr>
          <w:ilvl w:val="0"/>
          <w:numId w:val="3"/>
        </w:numPr>
        <w:spacing w:after="100"/>
      </w:pPr>
      <w:r>
        <w:t>Transférer la mesure vers l'application (Bluetooth) ou la consigner manuellement dans le registre (voir § 6).</w:t>
      </w:r>
    </w:p>
    <w:p w14:paraId="3EAF93D8" w14:textId="77777777" w:rsidR="00CB697F" w:rsidRDefault="00000000">
      <w:pPr>
        <w:numPr>
          <w:ilvl w:val="0"/>
          <w:numId w:val="3"/>
        </w:numPr>
        <w:spacing w:after="100"/>
      </w:pPr>
      <w:r>
        <w:t>Nettoyer la sonde à l'eau chaude savonneuse, rincer, sécher soigneusement et ranger l'appareil dans sa mallette.</w:t>
      </w:r>
    </w:p>
    <w:p w14:paraId="70C789F3" w14:textId="77777777" w:rsidR="00CB697F" w:rsidRDefault="00000000">
      <w:pPr>
        <w:pStyle w:val="Titre2"/>
      </w:pPr>
      <w:r>
        <w:t>Interprétation du code couleur</w:t>
      </w:r>
    </w:p>
    <w:p w14:paraId="3204303B" w14:textId="77777777" w:rsidR="00CB697F" w:rsidRDefault="00000000">
      <w:pPr>
        <w:numPr>
          <w:ilvl w:val="0"/>
          <w:numId w:val="2"/>
        </w:numPr>
        <w:spacing w:after="100"/>
      </w:pPr>
      <w:r>
        <w:t>VERT : huile conforme (% TPM sous le seuil d'alerte).</w:t>
      </w:r>
    </w:p>
    <w:p w14:paraId="65BB1223" w14:textId="77777777" w:rsidR="00CB697F" w:rsidRDefault="00000000">
      <w:pPr>
        <w:numPr>
          <w:ilvl w:val="0"/>
          <w:numId w:val="2"/>
        </w:numPr>
        <w:spacing w:after="100"/>
      </w:pPr>
      <w:r>
        <w:t>ORANGE : zone de vigilance — huile en fin de vie, filtrer et prévoir le remplacement très prochainement.</w:t>
      </w:r>
    </w:p>
    <w:p w14:paraId="54B3A639" w14:textId="77777777" w:rsidR="00CB697F" w:rsidRDefault="00000000">
      <w:pPr>
        <w:numPr>
          <w:ilvl w:val="0"/>
          <w:numId w:val="2"/>
        </w:numPr>
        <w:spacing w:after="100"/>
      </w:pPr>
      <w:r>
        <w:t>ROUGE : seuil critique atteint ou dépassé — remplacement immédiat de l'huile.</w:t>
      </w:r>
    </w:p>
    <w:p w14:paraId="0AFCCCED" w14:textId="77777777" w:rsidR="00CB697F" w:rsidRDefault="00000000">
      <w:pPr>
        <w:keepNext/>
        <w:spacing w:before="200" w:after="80"/>
        <w:jc w:val="center"/>
      </w:pPr>
      <w:r>
        <w:rPr>
          <w:noProof/>
        </w:rPr>
        <w:lastRenderedPageBreak/>
        <w:drawing>
          <wp:inline distT="0" distB="0" distL="0" distR="0" wp14:anchorId="53FCE193" wp14:editId="2766A0CA">
            <wp:extent cx="5400000" cy="2789150"/>
            <wp:effectExtent l="0" t="0" r="0" b="0"/>
            <wp:docPr id="2" name="Testeur d'huile testo 270 BT avec application et mall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eur d'huile testo 270 BT avec application et mallette.png"/>
                    <pic:cNvPicPr/>
                  </pic:nvPicPr>
                  <pic:blipFill>
                    <a:blip r:embed="rId8"/>
                    <a:stretch>
                      <a:fillRect/>
                    </a:stretch>
                  </pic:blipFill>
                  <pic:spPr>
                    <a:xfrm>
                      <a:off x="0" y="0"/>
                      <a:ext cx="5400000" cy="2789150"/>
                    </a:xfrm>
                    <a:prstGeom prst="rect">
                      <a:avLst/>
                    </a:prstGeom>
                  </pic:spPr>
                </pic:pic>
              </a:graphicData>
            </a:graphic>
          </wp:inline>
        </w:drawing>
      </w:r>
    </w:p>
    <w:p w14:paraId="1F4E4903" w14:textId="77777777" w:rsidR="00CB697F" w:rsidRDefault="00000000">
      <w:pPr>
        <w:pStyle w:val="Lgende"/>
      </w:pPr>
      <w:r>
        <w:t xml:space="preserve">Testeur d'huile électronique (type </w:t>
      </w:r>
      <w:proofErr w:type="spellStart"/>
      <w:r>
        <w:t>testo</w:t>
      </w:r>
      <w:proofErr w:type="spellEnd"/>
      <w:r>
        <w:t xml:space="preserve"> 270 BT) : mesure du % TPM et de la température, transfert Bluetooth vers l'application, mallette de rangement.</w:t>
      </w:r>
    </w:p>
    <w:p w14:paraId="1953B250" w14:textId="77777777" w:rsidR="00CB697F" w:rsidRDefault="00000000">
      <w:pPr>
        <w:pStyle w:val="Titre1"/>
      </w:pPr>
      <w:r>
        <w:t>5. Seuils de décision — tableau récapitulatif</w:t>
      </w:r>
    </w:p>
    <w:tbl>
      <w:tblPr>
        <w:tblW w:w="5000" w:type="pct"/>
        <w:tblInd w:w="120" w:type="dxa"/>
        <w:tblBorders>
          <w:top w:val="single" w:sz="12" w:space="0" w:color="1F6B66"/>
          <w:left w:val="single" w:sz="4" w:space="0" w:color="C9DAD6"/>
          <w:bottom w:val="single" w:sz="12" w:space="0" w:color="1F6B66"/>
          <w:right w:val="single" w:sz="4" w:space="0" w:color="C9DAD6"/>
          <w:insideH w:val="single" w:sz="4" w:space="0" w:color="C9DAD6"/>
          <w:insideV w:val="single" w:sz="4" w:space="0" w:color="C9DAD6"/>
        </w:tblBorders>
        <w:tblCellMar>
          <w:left w:w="10" w:type="dxa"/>
          <w:right w:w="10" w:type="dxa"/>
        </w:tblCellMar>
        <w:tblLook w:val="0000" w:firstRow="0" w:lastRow="0" w:firstColumn="0" w:lastColumn="0" w:noHBand="0" w:noVBand="0"/>
      </w:tblPr>
      <w:tblGrid>
        <w:gridCol w:w="1499"/>
        <w:gridCol w:w="2297"/>
        <w:gridCol w:w="2297"/>
        <w:gridCol w:w="2923"/>
      </w:tblGrid>
      <w:tr w:rsidR="00CB697F" w14:paraId="2351CBD3" w14:textId="77777777">
        <w:trPr>
          <w:tblHeader/>
        </w:trPr>
        <w:tc>
          <w:tcPr>
            <w:tcW w:w="1500" w:type="dxa"/>
            <w:shd w:val="clear" w:color="auto" w:fill="E3EEEC"/>
            <w:tcMar>
              <w:top w:w="80" w:type="dxa"/>
              <w:left w:w="120" w:type="dxa"/>
              <w:bottom w:w="80" w:type="dxa"/>
              <w:right w:w="120" w:type="dxa"/>
            </w:tcMar>
          </w:tcPr>
          <w:p w14:paraId="3AEC5FB5" w14:textId="77777777" w:rsidR="00CB697F" w:rsidRDefault="00000000">
            <w:pPr>
              <w:spacing w:after="0" w:line="264" w:lineRule="auto"/>
              <w:jc w:val="center"/>
            </w:pPr>
            <w:r>
              <w:rPr>
                <w:b/>
                <w:sz w:val="19"/>
              </w:rPr>
              <w:t>Zone</w:t>
            </w:r>
          </w:p>
        </w:tc>
        <w:tc>
          <w:tcPr>
            <w:tcW w:w="2300" w:type="dxa"/>
            <w:shd w:val="clear" w:color="auto" w:fill="E3EEEC"/>
            <w:tcMar>
              <w:top w:w="80" w:type="dxa"/>
              <w:left w:w="120" w:type="dxa"/>
              <w:bottom w:w="80" w:type="dxa"/>
              <w:right w:w="120" w:type="dxa"/>
            </w:tcMar>
          </w:tcPr>
          <w:p w14:paraId="192088E2" w14:textId="77777777" w:rsidR="00CB697F" w:rsidRDefault="00000000">
            <w:pPr>
              <w:spacing w:after="0" w:line="264" w:lineRule="auto"/>
              <w:jc w:val="center"/>
            </w:pPr>
            <w:r>
              <w:rPr>
                <w:b/>
                <w:sz w:val="19"/>
              </w:rPr>
              <w:t>Bandelette (mg KOH/g)</w:t>
            </w:r>
          </w:p>
        </w:tc>
        <w:tc>
          <w:tcPr>
            <w:tcW w:w="2300" w:type="dxa"/>
            <w:shd w:val="clear" w:color="auto" w:fill="E3EEEC"/>
            <w:tcMar>
              <w:top w:w="80" w:type="dxa"/>
              <w:left w:w="120" w:type="dxa"/>
              <w:bottom w:w="80" w:type="dxa"/>
              <w:right w:w="120" w:type="dxa"/>
            </w:tcMar>
          </w:tcPr>
          <w:p w14:paraId="10300FAF" w14:textId="77777777" w:rsidR="00CB697F" w:rsidRDefault="00000000">
            <w:pPr>
              <w:spacing w:after="0" w:line="264" w:lineRule="auto"/>
              <w:jc w:val="center"/>
            </w:pPr>
            <w:r>
              <w:rPr>
                <w:b/>
                <w:sz w:val="19"/>
              </w:rPr>
              <w:t>Testeur (% TPM)</w:t>
            </w:r>
          </w:p>
        </w:tc>
        <w:tc>
          <w:tcPr>
            <w:tcW w:w="2926" w:type="dxa"/>
            <w:shd w:val="clear" w:color="auto" w:fill="E3EEEC"/>
            <w:tcMar>
              <w:top w:w="80" w:type="dxa"/>
              <w:left w:w="120" w:type="dxa"/>
              <w:bottom w:w="80" w:type="dxa"/>
              <w:right w:w="120" w:type="dxa"/>
            </w:tcMar>
          </w:tcPr>
          <w:p w14:paraId="1ED66E4A" w14:textId="77777777" w:rsidR="00CB697F" w:rsidRDefault="00000000">
            <w:pPr>
              <w:spacing w:after="0" w:line="264" w:lineRule="auto"/>
              <w:jc w:val="center"/>
            </w:pPr>
            <w:r>
              <w:rPr>
                <w:b/>
                <w:sz w:val="19"/>
              </w:rPr>
              <w:t>Décision</w:t>
            </w:r>
          </w:p>
        </w:tc>
      </w:tr>
      <w:tr w:rsidR="00CB697F" w14:paraId="78F496DC" w14:textId="77777777">
        <w:tc>
          <w:tcPr>
            <w:tcW w:w="1500" w:type="dxa"/>
            <w:shd w:val="clear" w:color="auto" w:fill="E4EFEA"/>
            <w:tcMar>
              <w:top w:w="80" w:type="dxa"/>
              <w:left w:w="120" w:type="dxa"/>
              <w:bottom w:w="80" w:type="dxa"/>
              <w:right w:w="120" w:type="dxa"/>
            </w:tcMar>
          </w:tcPr>
          <w:p w14:paraId="1405274F" w14:textId="77777777" w:rsidR="00CB697F" w:rsidRDefault="00000000">
            <w:pPr>
              <w:spacing w:after="0" w:line="264" w:lineRule="auto"/>
              <w:jc w:val="center"/>
            </w:pPr>
            <w:r>
              <w:rPr>
                <w:b/>
                <w:color w:val="55706C"/>
                <w:sz w:val="19"/>
              </w:rPr>
              <w:t>IDÉAL</w:t>
            </w:r>
          </w:p>
        </w:tc>
        <w:tc>
          <w:tcPr>
            <w:tcW w:w="2300" w:type="dxa"/>
            <w:shd w:val="clear" w:color="auto" w:fill="E4EFEA"/>
            <w:tcMar>
              <w:top w:w="80" w:type="dxa"/>
              <w:left w:w="120" w:type="dxa"/>
              <w:bottom w:w="80" w:type="dxa"/>
              <w:right w:w="120" w:type="dxa"/>
            </w:tcMar>
          </w:tcPr>
          <w:p w14:paraId="24C1CA62" w14:textId="77777777" w:rsidR="00CB697F" w:rsidRDefault="00000000">
            <w:pPr>
              <w:spacing w:after="0" w:line="264" w:lineRule="auto"/>
              <w:jc w:val="center"/>
            </w:pPr>
            <w:r>
              <w:rPr>
                <w:color w:val="55706C"/>
                <w:sz w:val="19"/>
              </w:rPr>
              <w:t>0 · 0,3 · 0,5</w:t>
            </w:r>
          </w:p>
        </w:tc>
        <w:tc>
          <w:tcPr>
            <w:tcW w:w="2300" w:type="dxa"/>
            <w:shd w:val="clear" w:color="auto" w:fill="E4EFEA"/>
            <w:tcMar>
              <w:top w:w="80" w:type="dxa"/>
              <w:left w:w="120" w:type="dxa"/>
              <w:bottom w:w="80" w:type="dxa"/>
              <w:right w:w="120" w:type="dxa"/>
            </w:tcMar>
          </w:tcPr>
          <w:p w14:paraId="397DCC6C" w14:textId="77777777" w:rsidR="00CB697F" w:rsidRDefault="00000000">
            <w:pPr>
              <w:spacing w:after="0" w:line="264" w:lineRule="auto"/>
              <w:jc w:val="center"/>
            </w:pPr>
            <w:r>
              <w:rPr>
                <w:color w:val="55706C"/>
                <w:sz w:val="19"/>
              </w:rPr>
              <w:t>Vert — sous le seuil d'alerte</w:t>
            </w:r>
          </w:p>
        </w:tc>
        <w:tc>
          <w:tcPr>
            <w:tcW w:w="2926" w:type="dxa"/>
            <w:shd w:val="clear" w:color="auto" w:fill="E4EFEA"/>
            <w:tcMar>
              <w:top w:w="80" w:type="dxa"/>
              <w:left w:w="120" w:type="dxa"/>
              <w:bottom w:w="80" w:type="dxa"/>
              <w:right w:w="120" w:type="dxa"/>
            </w:tcMar>
          </w:tcPr>
          <w:p w14:paraId="2A181544" w14:textId="77777777" w:rsidR="00CB697F" w:rsidRDefault="00000000">
            <w:pPr>
              <w:spacing w:after="0" w:line="264" w:lineRule="auto"/>
            </w:pPr>
            <w:r>
              <w:rPr>
                <w:color w:val="55706C"/>
                <w:sz w:val="19"/>
              </w:rPr>
              <w:t>Huile conforme : poursuivre l'utilisation normalement.</w:t>
            </w:r>
          </w:p>
        </w:tc>
      </w:tr>
      <w:tr w:rsidR="00CB697F" w14:paraId="61AB56EA" w14:textId="77777777">
        <w:tc>
          <w:tcPr>
            <w:tcW w:w="1500" w:type="dxa"/>
            <w:shd w:val="clear" w:color="auto" w:fill="F6EDDA"/>
            <w:tcMar>
              <w:top w:w="80" w:type="dxa"/>
              <w:left w:w="120" w:type="dxa"/>
              <w:bottom w:w="80" w:type="dxa"/>
              <w:right w:w="120" w:type="dxa"/>
            </w:tcMar>
          </w:tcPr>
          <w:p w14:paraId="5A4C68DC" w14:textId="77777777" w:rsidR="00CB697F" w:rsidRDefault="00000000">
            <w:pPr>
              <w:spacing w:after="0" w:line="264" w:lineRule="auto"/>
              <w:jc w:val="center"/>
            </w:pPr>
            <w:r>
              <w:rPr>
                <w:b/>
                <w:color w:val="55706C"/>
                <w:sz w:val="19"/>
              </w:rPr>
              <w:t>ATTENTION</w:t>
            </w:r>
          </w:p>
        </w:tc>
        <w:tc>
          <w:tcPr>
            <w:tcW w:w="2300" w:type="dxa"/>
            <w:shd w:val="clear" w:color="auto" w:fill="F6EDDA"/>
            <w:tcMar>
              <w:top w:w="80" w:type="dxa"/>
              <w:left w:w="120" w:type="dxa"/>
              <w:bottom w:w="80" w:type="dxa"/>
              <w:right w:w="120" w:type="dxa"/>
            </w:tcMar>
          </w:tcPr>
          <w:p w14:paraId="405FB256" w14:textId="77777777" w:rsidR="00CB697F" w:rsidRDefault="00000000">
            <w:pPr>
              <w:spacing w:after="0" w:line="264" w:lineRule="auto"/>
              <w:jc w:val="center"/>
            </w:pPr>
            <w:r>
              <w:rPr>
                <w:color w:val="55706C"/>
                <w:sz w:val="19"/>
              </w:rPr>
              <w:t>1,5 · 2,5</w:t>
            </w:r>
          </w:p>
        </w:tc>
        <w:tc>
          <w:tcPr>
            <w:tcW w:w="2300" w:type="dxa"/>
            <w:shd w:val="clear" w:color="auto" w:fill="F6EDDA"/>
            <w:tcMar>
              <w:top w:w="80" w:type="dxa"/>
              <w:left w:w="120" w:type="dxa"/>
              <w:bottom w:w="80" w:type="dxa"/>
              <w:right w:w="120" w:type="dxa"/>
            </w:tcMar>
          </w:tcPr>
          <w:p w14:paraId="32497518" w14:textId="77777777" w:rsidR="00CB697F" w:rsidRDefault="00000000">
            <w:pPr>
              <w:spacing w:after="0" w:line="264" w:lineRule="auto"/>
              <w:jc w:val="center"/>
            </w:pPr>
            <w:r>
              <w:rPr>
                <w:color w:val="55706C"/>
                <w:sz w:val="19"/>
              </w:rPr>
              <w:t>Orange — zone de vigilance</w:t>
            </w:r>
          </w:p>
        </w:tc>
        <w:tc>
          <w:tcPr>
            <w:tcW w:w="2926" w:type="dxa"/>
            <w:shd w:val="clear" w:color="auto" w:fill="F6EDDA"/>
            <w:tcMar>
              <w:top w:w="80" w:type="dxa"/>
              <w:left w:w="120" w:type="dxa"/>
              <w:bottom w:w="80" w:type="dxa"/>
              <w:right w:w="120" w:type="dxa"/>
            </w:tcMar>
          </w:tcPr>
          <w:p w14:paraId="471DEA1E" w14:textId="77777777" w:rsidR="00CB697F" w:rsidRDefault="00000000">
            <w:pPr>
              <w:spacing w:after="0" w:line="264" w:lineRule="auto"/>
            </w:pPr>
            <w:r>
              <w:rPr>
                <w:color w:val="55706C"/>
                <w:sz w:val="19"/>
              </w:rPr>
              <w:t>Filtrer, resserrer les contrôles (à chaque service) et préparer le remplacement.</w:t>
            </w:r>
          </w:p>
        </w:tc>
      </w:tr>
      <w:tr w:rsidR="00CB697F" w14:paraId="5CBB4D9E" w14:textId="77777777">
        <w:tc>
          <w:tcPr>
            <w:tcW w:w="1500" w:type="dxa"/>
            <w:shd w:val="clear" w:color="auto" w:fill="F3E2DE"/>
            <w:tcMar>
              <w:top w:w="80" w:type="dxa"/>
              <w:left w:w="120" w:type="dxa"/>
              <w:bottom w:w="80" w:type="dxa"/>
              <w:right w:w="120" w:type="dxa"/>
            </w:tcMar>
          </w:tcPr>
          <w:p w14:paraId="05323CEE" w14:textId="77777777" w:rsidR="00CB697F" w:rsidRDefault="00000000">
            <w:pPr>
              <w:spacing w:after="0" w:line="264" w:lineRule="auto"/>
              <w:jc w:val="center"/>
            </w:pPr>
            <w:r>
              <w:rPr>
                <w:b/>
                <w:color w:val="55706C"/>
                <w:sz w:val="19"/>
              </w:rPr>
              <w:t>À REMPLACER</w:t>
            </w:r>
          </w:p>
        </w:tc>
        <w:tc>
          <w:tcPr>
            <w:tcW w:w="2300" w:type="dxa"/>
            <w:shd w:val="clear" w:color="auto" w:fill="F3E2DE"/>
            <w:tcMar>
              <w:top w:w="80" w:type="dxa"/>
              <w:left w:w="120" w:type="dxa"/>
              <w:bottom w:w="80" w:type="dxa"/>
              <w:right w:w="120" w:type="dxa"/>
            </w:tcMar>
          </w:tcPr>
          <w:p w14:paraId="73583BD7" w14:textId="77777777" w:rsidR="00CB697F" w:rsidRDefault="00000000">
            <w:pPr>
              <w:spacing w:after="0" w:line="264" w:lineRule="auto"/>
              <w:jc w:val="center"/>
            </w:pPr>
            <w:r>
              <w:rPr>
                <w:color w:val="55706C"/>
                <w:sz w:val="19"/>
              </w:rPr>
              <w:t>3,0 · 5,0</w:t>
            </w:r>
          </w:p>
        </w:tc>
        <w:tc>
          <w:tcPr>
            <w:tcW w:w="2300" w:type="dxa"/>
            <w:shd w:val="clear" w:color="auto" w:fill="F3E2DE"/>
            <w:tcMar>
              <w:top w:w="80" w:type="dxa"/>
              <w:left w:w="120" w:type="dxa"/>
              <w:bottom w:w="80" w:type="dxa"/>
              <w:right w:w="120" w:type="dxa"/>
            </w:tcMar>
          </w:tcPr>
          <w:p w14:paraId="1AFCAEF4" w14:textId="77777777" w:rsidR="00CB697F" w:rsidRDefault="00000000">
            <w:pPr>
              <w:spacing w:after="0" w:line="264" w:lineRule="auto"/>
              <w:jc w:val="center"/>
            </w:pPr>
            <w:r>
              <w:rPr>
                <w:color w:val="55706C"/>
                <w:sz w:val="19"/>
              </w:rPr>
              <w:t>Rouge — seuil critique (≥ 24 %)</w:t>
            </w:r>
          </w:p>
        </w:tc>
        <w:tc>
          <w:tcPr>
            <w:tcW w:w="2926" w:type="dxa"/>
            <w:shd w:val="clear" w:color="auto" w:fill="F3E2DE"/>
            <w:tcMar>
              <w:top w:w="80" w:type="dxa"/>
              <w:left w:w="120" w:type="dxa"/>
              <w:bottom w:w="80" w:type="dxa"/>
              <w:right w:w="120" w:type="dxa"/>
            </w:tcMar>
          </w:tcPr>
          <w:p w14:paraId="6AD08641" w14:textId="77777777" w:rsidR="00CB697F" w:rsidRDefault="00000000">
            <w:pPr>
              <w:spacing w:after="0" w:line="264" w:lineRule="auto"/>
            </w:pPr>
            <w:r>
              <w:rPr>
                <w:color w:val="55706C"/>
                <w:sz w:val="19"/>
              </w:rPr>
              <w:t>Retirer et remplacer l'huile immédiatement. Ne plus frire dans ce bain.</w:t>
            </w:r>
          </w:p>
        </w:tc>
      </w:tr>
    </w:tbl>
    <w:p w14:paraId="189D96B8" w14:textId="77777777" w:rsidR="00CB697F" w:rsidRDefault="00000000">
      <w:pPr>
        <w:spacing w:before="120"/>
      </w:pPr>
      <w:r>
        <w:rPr>
          <w:i/>
          <w:color w:val="55706C"/>
          <w:sz w:val="18"/>
        </w:rPr>
        <w:t>Note : les seuils TPM réglementaires varient selon les pays (généralement 24 à 27 % en Europe). Adapter les valeurs d'alerte de l'appareil à la réglementation locale en vigueur. En cas de divergence entre les deux méthodes, appliquer la décision la plus prudente.</w:t>
      </w:r>
    </w:p>
    <w:p w14:paraId="70ABCF08" w14:textId="77777777" w:rsidR="00CB697F" w:rsidRDefault="00000000">
      <w:pPr>
        <w:pStyle w:val="Titre1"/>
      </w:pPr>
      <w:r>
        <w:t>6. Enregistrement et traçabilité (HACCP)</w:t>
      </w:r>
    </w:p>
    <w:p w14:paraId="0A325CF9" w14:textId="77777777" w:rsidR="00CB697F" w:rsidRDefault="00000000">
      <w:r>
        <w:t>Chaque contrôle est consigné dans le registre « Contrôle des huiles », tenu à disposition des services de contrôle. Le registre précise la date, la friteuse concernée, la méthode utilisée, le résultat mesuré, la décision prise et le visa de la personne responsable.</w:t>
      </w:r>
    </w:p>
    <w:tbl>
      <w:tblPr>
        <w:tblW w:w="5000" w:type="pct"/>
        <w:tblInd w:w="120" w:type="dxa"/>
        <w:tblBorders>
          <w:top w:val="single" w:sz="12" w:space="0" w:color="1F6B66"/>
          <w:left w:val="single" w:sz="4" w:space="0" w:color="C9DAD6"/>
          <w:bottom w:val="single" w:sz="12" w:space="0" w:color="1F6B66"/>
          <w:right w:val="single" w:sz="4" w:space="0" w:color="C9DAD6"/>
          <w:insideH w:val="single" w:sz="4" w:space="0" w:color="C9DAD6"/>
          <w:insideV w:val="single" w:sz="4" w:space="0" w:color="C9DAD6"/>
        </w:tblBorders>
        <w:tblCellMar>
          <w:left w:w="10" w:type="dxa"/>
          <w:right w:w="10" w:type="dxa"/>
        </w:tblCellMar>
        <w:tblLook w:val="0000" w:firstRow="0" w:lastRow="0" w:firstColumn="0" w:lastColumn="0" w:noHBand="0" w:noVBand="0"/>
      </w:tblPr>
      <w:tblGrid>
        <w:gridCol w:w="1299"/>
        <w:gridCol w:w="1299"/>
        <w:gridCol w:w="1698"/>
        <w:gridCol w:w="1498"/>
        <w:gridCol w:w="2024"/>
        <w:gridCol w:w="1198"/>
      </w:tblGrid>
      <w:tr w:rsidR="00CB697F" w14:paraId="7D31893C" w14:textId="77777777">
        <w:trPr>
          <w:tblHeader/>
        </w:trPr>
        <w:tc>
          <w:tcPr>
            <w:tcW w:w="1300" w:type="dxa"/>
            <w:shd w:val="clear" w:color="auto" w:fill="E3EEEC"/>
            <w:tcMar>
              <w:top w:w="80" w:type="dxa"/>
              <w:left w:w="120" w:type="dxa"/>
              <w:bottom w:w="80" w:type="dxa"/>
              <w:right w:w="120" w:type="dxa"/>
            </w:tcMar>
          </w:tcPr>
          <w:p w14:paraId="492561B2" w14:textId="77777777" w:rsidR="00CB697F" w:rsidRDefault="00000000">
            <w:pPr>
              <w:spacing w:after="0" w:line="264" w:lineRule="auto"/>
              <w:jc w:val="center"/>
            </w:pPr>
            <w:r>
              <w:rPr>
                <w:b/>
                <w:sz w:val="19"/>
              </w:rPr>
              <w:t>Date</w:t>
            </w:r>
          </w:p>
        </w:tc>
        <w:tc>
          <w:tcPr>
            <w:tcW w:w="1300" w:type="dxa"/>
            <w:shd w:val="clear" w:color="auto" w:fill="E3EEEC"/>
            <w:tcMar>
              <w:top w:w="80" w:type="dxa"/>
              <w:left w:w="120" w:type="dxa"/>
              <w:bottom w:w="80" w:type="dxa"/>
              <w:right w:w="120" w:type="dxa"/>
            </w:tcMar>
          </w:tcPr>
          <w:p w14:paraId="3A21CE12" w14:textId="77777777" w:rsidR="00CB697F" w:rsidRDefault="00000000">
            <w:pPr>
              <w:spacing w:after="0" w:line="264" w:lineRule="auto"/>
              <w:jc w:val="center"/>
            </w:pPr>
            <w:r>
              <w:rPr>
                <w:b/>
                <w:sz w:val="19"/>
              </w:rPr>
              <w:t>Friteuse</w:t>
            </w:r>
          </w:p>
        </w:tc>
        <w:tc>
          <w:tcPr>
            <w:tcW w:w="1700" w:type="dxa"/>
            <w:shd w:val="clear" w:color="auto" w:fill="E3EEEC"/>
            <w:tcMar>
              <w:top w:w="80" w:type="dxa"/>
              <w:left w:w="120" w:type="dxa"/>
              <w:bottom w:w="80" w:type="dxa"/>
              <w:right w:w="120" w:type="dxa"/>
            </w:tcMar>
          </w:tcPr>
          <w:p w14:paraId="3DEB4B4D" w14:textId="77777777" w:rsidR="00CB697F" w:rsidRDefault="00000000">
            <w:pPr>
              <w:spacing w:after="0" w:line="264" w:lineRule="auto"/>
              <w:jc w:val="center"/>
            </w:pPr>
            <w:r>
              <w:rPr>
                <w:b/>
                <w:sz w:val="19"/>
              </w:rPr>
              <w:t>Méthode</w:t>
            </w:r>
          </w:p>
        </w:tc>
        <w:tc>
          <w:tcPr>
            <w:tcW w:w="1500" w:type="dxa"/>
            <w:shd w:val="clear" w:color="auto" w:fill="E3EEEC"/>
            <w:tcMar>
              <w:top w:w="80" w:type="dxa"/>
              <w:left w:w="120" w:type="dxa"/>
              <w:bottom w:w="80" w:type="dxa"/>
              <w:right w:w="120" w:type="dxa"/>
            </w:tcMar>
          </w:tcPr>
          <w:p w14:paraId="06B49CBF" w14:textId="77777777" w:rsidR="00CB697F" w:rsidRDefault="00000000">
            <w:pPr>
              <w:spacing w:after="0" w:line="264" w:lineRule="auto"/>
              <w:jc w:val="center"/>
            </w:pPr>
            <w:r>
              <w:rPr>
                <w:b/>
                <w:sz w:val="19"/>
              </w:rPr>
              <w:t>Résultat</w:t>
            </w:r>
          </w:p>
        </w:tc>
        <w:tc>
          <w:tcPr>
            <w:tcW w:w="2026" w:type="dxa"/>
            <w:shd w:val="clear" w:color="auto" w:fill="E3EEEC"/>
            <w:tcMar>
              <w:top w:w="80" w:type="dxa"/>
              <w:left w:w="120" w:type="dxa"/>
              <w:bottom w:w="80" w:type="dxa"/>
              <w:right w:w="120" w:type="dxa"/>
            </w:tcMar>
          </w:tcPr>
          <w:p w14:paraId="59EE01B5" w14:textId="77777777" w:rsidR="00CB697F" w:rsidRDefault="00000000">
            <w:pPr>
              <w:spacing w:after="0" w:line="264" w:lineRule="auto"/>
              <w:jc w:val="center"/>
            </w:pPr>
            <w:r>
              <w:rPr>
                <w:b/>
                <w:sz w:val="19"/>
              </w:rPr>
              <w:t>Décision / action</w:t>
            </w:r>
          </w:p>
        </w:tc>
        <w:tc>
          <w:tcPr>
            <w:tcW w:w="1200" w:type="dxa"/>
            <w:shd w:val="clear" w:color="auto" w:fill="E3EEEC"/>
            <w:tcMar>
              <w:top w:w="80" w:type="dxa"/>
              <w:left w:w="120" w:type="dxa"/>
              <w:bottom w:w="80" w:type="dxa"/>
              <w:right w:w="120" w:type="dxa"/>
            </w:tcMar>
          </w:tcPr>
          <w:p w14:paraId="1AC4710C" w14:textId="77777777" w:rsidR="00CB697F" w:rsidRDefault="00000000">
            <w:pPr>
              <w:spacing w:after="0" w:line="264" w:lineRule="auto"/>
              <w:jc w:val="center"/>
            </w:pPr>
            <w:r>
              <w:rPr>
                <w:b/>
                <w:sz w:val="19"/>
              </w:rPr>
              <w:t>Visa</w:t>
            </w:r>
          </w:p>
        </w:tc>
      </w:tr>
      <w:tr w:rsidR="00CB697F" w14:paraId="7B83697B" w14:textId="77777777">
        <w:tc>
          <w:tcPr>
            <w:tcW w:w="1300" w:type="dxa"/>
            <w:tcMar>
              <w:top w:w="80" w:type="dxa"/>
              <w:left w:w="120" w:type="dxa"/>
              <w:bottom w:w="80" w:type="dxa"/>
              <w:right w:w="120" w:type="dxa"/>
            </w:tcMar>
          </w:tcPr>
          <w:p w14:paraId="706AC59E" w14:textId="77777777" w:rsidR="00CB697F" w:rsidRDefault="00000000">
            <w:pPr>
              <w:spacing w:after="0" w:line="264" w:lineRule="auto"/>
              <w:jc w:val="center"/>
            </w:pPr>
            <w:r>
              <w:rPr>
                <w:color w:val="55706C"/>
                <w:sz w:val="19"/>
              </w:rPr>
              <w:t>…/…/……</w:t>
            </w:r>
          </w:p>
        </w:tc>
        <w:tc>
          <w:tcPr>
            <w:tcW w:w="1300" w:type="dxa"/>
            <w:tcMar>
              <w:top w:w="80" w:type="dxa"/>
              <w:left w:w="120" w:type="dxa"/>
              <w:bottom w:w="80" w:type="dxa"/>
              <w:right w:w="120" w:type="dxa"/>
            </w:tcMar>
          </w:tcPr>
          <w:p w14:paraId="4B2C444C" w14:textId="77777777" w:rsidR="00CB697F" w:rsidRDefault="00000000">
            <w:pPr>
              <w:spacing w:after="0" w:line="264" w:lineRule="auto"/>
              <w:jc w:val="center"/>
            </w:pPr>
            <w:r>
              <w:rPr>
                <w:color w:val="55706C"/>
                <w:sz w:val="19"/>
              </w:rPr>
              <w:t>N° 1</w:t>
            </w:r>
          </w:p>
        </w:tc>
        <w:tc>
          <w:tcPr>
            <w:tcW w:w="1700" w:type="dxa"/>
            <w:tcMar>
              <w:top w:w="80" w:type="dxa"/>
              <w:left w:w="120" w:type="dxa"/>
              <w:bottom w:w="80" w:type="dxa"/>
              <w:right w:w="120" w:type="dxa"/>
            </w:tcMar>
          </w:tcPr>
          <w:p w14:paraId="7C44E1DC" w14:textId="77777777" w:rsidR="00CB697F" w:rsidRDefault="00000000">
            <w:pPr>
              <w:spacing w:after="0" w:line="264" w:lineRule="auto"/>
              <w:jc w:val="center"/>
            </w:pPr>
            <w:r>
              <w:rPr>
                <w:color w:val="55706C"/>
                <w:sz w:val="19"/>
              </w:rPr>
              <w:t>Bandelette</w:t>
            </w:r>
          </w:p>
        </w:tc>
        <w:tc>
          <w:tcPr>
            <w:tcW w:w="1500" w:type="dxa"/>
            <w:tcMar>
              <w:top w:w="80" w:type="dxa"/>
              <w:left w:w="120" w:type="dxa"/>
              <w:bottom w:w="80" w:type="dxa"/>
              <w:right w:w="120" w:type="dxa"/>
            </w:tcMar>
          </w:tcPr>
          <w:p w14:paraId="7999B559" w14:textId="77777777" w:rsidR="00CB697F" w:rsidRDefault="00000000">
            <w:pPr>
              <w:spacing w:after="0" w:line="264" w:lineRule="auto"/>
              <w:jc w:val="center"/>
            </w:pPr>
            <w:r>
              <w:rPr>
                <w:color w:val="55706C"/>
                <w:sz w:val="19"/>
              </w:rPr>
              <w:t>0,5 mg KOH/g</w:t>
            </w:r>
          </w:p>
        </w:tc>
        <w:tc>
          <w:tcPr>
            <w:tcW w:w="2026" w:type="dxa"/>
            <w:tcMar>
              <w:top w:w="80" w:type="dxa"/>
              <w:left w:w="120" w:type="dxa"/>
              <w:bottom w:w="80" w:type="dxa"/>
              <w:right w:w="120" w:type="dxa"/>
            </w:tcMar>
          </w:tcPr>
          <w:p w14:paraId="18CEFE10" w14:textId="77777777" w:rsidR="00CB697F" w:rsidRDefault="00000000">
            <w:pPr>
              <w:spacing w:after="0" w:line="264" w:lineRule="auto"/>
            </w:pPr>
            <w:r>
              <w:rPr>
                <w:color w:val="55706C"/>
                <w:sz w:val="19"/>
              </w:rPr>
              <w:t>RAS — poursuite</w:t>
            </w:r>
          </w:p>
        </w:tc>
        <w:tc>
          <w:tcPr>
            <w:tcW w:w="1200" w:type="dxa"/>
            <w:tcMar>
              <w:top w:w="80" w:type="dxa"/>
              <w:left w:w="120" w:type="dxa"/>
              <w:bottom w:w="80" w:type="dxa"/>
              <w:right w:w="120" w:type="dxa"/>
            </w:tcMar>
          </w:tcPr>
          <w:p w14:paraId="57F5607C" w14:textId="77777777" w:rsidR="00CB697F" w:rsidRDefault="00CB697F">
            <w:pPr>
              <w:spacing w:after="0" w:line="264" w:lineRule="auto"/>
              <w:jc w:val="center"/>
            </w:pPr>
          </w:p>
        </w:tc>
      </w:tr>
      <w:tr w:rsidR="00CB697F" w14:paraId="369DF4AC" w14:textId="77777777">
        <w:tc>
          <w:tcPr>
            <w:tcW w:w="1300" w:type="dxa"/>
            <w:tcMar>
              <w:top w:w="80" w:type="dxa"/>
              <w:left w:w="120" w:type="dxa"/>
              <w:bottom w:w="80" w:type="dxa"/>
              <w:right w:w="120" w:type="dxa"/>
            </w:tcMar>
          </w:tcPr>
          <w:p w14:paraId="7B729E39" w14:textId="77777777" w:rsidR="00CB697F" w:rsidRDefault="00000000">
            <w:pPr>
              <w:spacing w:after="0" w:line="264" w:lineRule="auto"/>
              <w:jc w:val="center"/>
            </w:pPr>
            <w:r>
              <w:rPr>
                <w:color w:val="55706C"/>
                <w:sz w:val="19"/>
              </w:rPr>
              <w:lastRenderedPageBreak/>
              <w:t>…/…/……</w:t>
            </w:r>
          </w:p>
        </w:tc>
        <w:tc>
          <w:tcPr>
            <w:tcW w:w="1300" w:type="dxa"/>
            <w:tcMar>
              <w:top w:w="80" w:type="dxa"/>
              <w:left w:w="120" w:type="dxa"/>
              <w:bottom w:w="80" w:type="dxa"/>
              <w:right w:w="120" w:type="dxa"/>
            </w:tcMar>
          </w:tcPr>
          <w:p w14:paraId="772CEB5D" w14:textId="77777777" w:rsidR="00CB697F" w:rsidRDefault="00000000">
            <w:pPr>
              <w:spacing w:after="0" w:line="264" w:lineRule="auto"/>
              <w:jc w:val="center"/>
            </w:pPr>
            <w:r>
              <w:rPr>
                <w:color w:val="55706C"/>
                <w:sz w:val="19"/>
              </w:rPr>
              <w:t>N° 1</w:t>
            </w:r>
          </w:p>
        </w:tc>
        <w:tc>
          <w:tcPr>
            <w:tcW w:w="1700" w:type="dxa"/>
            <w:tcMar>
              <w:top w:w="80" w:type="dxa"/>
              <w:left w:w="120" w:type="dxa"/>
              <w:bottom w:w="80" w:type="dxa"/>
              <w:right w:w="120" w:type="dxa"/>
            </w:tcMar>
          </w:tcPr>
          <w:p w14:paraId="114E35F7" w14:textId="77777777" w:rsidR="00CB697F" w:rsidRDefault="00000000">
            <w:pPr>
              <w:spacing w:after="0" w:line="264" w:lineRule="auto"/>
              <w:jc w:val="center"/>
            </w:pPr>
            <w:r>
              <w:rPr>
                <w:color w:val="55706C"/>
                <w:sz w:val="19"/>
              </w:rPr>
              <w:t>Testeur</w:t>
            </w:r>
          </w:p>
        </w:tc>
        <w:tc>
          <w:tcPr>
            <w:tcW w:w="1500" w:type="dxa"/>
            <w:tcMar>
              <w:top w:w="80" w:type="dxa"/>
              <w:left w:w="120" w:type="dxa"/>
              <w:bottom w:w="80" w:type="dxa"/>
              <w:right w:w="120" w:type="dxa"/>
            </w:tcMar>
          </w:tcPr>
          <w:p w14:paraId="0078FCDB" w14:textId="77777777" w:rsidR="00CB697F" w:rsidRDefault="00000000">
            <w:pPr>
              <w:spacing w:after="0" w:line="264" w:lineRule="auto"/>
              <w:jc w:val="center"/>
            </w:pPr>
            <w:r>
              <w:rPr>
                <w:color w:val="55706C"/>
                <w:sz w:val="19"/>
              </w:rPr>
              <w:t>21 % TPM</w:t>
            </w:r>
          </w:p>
        </w:tc>
        <w:tc>
          <w:tcPr>
            <w:tcW w:w="2026" w:type="dxa"/>
            <w:tcMar>
              <w:top w:w="80" w:type="dxa"/>
              <w:left w:w="120" w:type="dxa"/>
              <w:bottom w:w="80" w:type="dxa"/>
              <w:right w:w="120" w:type="dxa"/>
            </w:tcMar>
          </w:tcPr>
          <w:p w14:paraId="3C8912E8" w14:textId="77777777" w:rsidR="00CB697F" w:rsidRDefault="00000000">
            <w:pPr>
              <w:spacing w:after="0" w:line="264" w:lineRule="auto"/>
            </w:pPr>
            <w:r>
              <w:rPr>
                <w:color w:val="55706C"/>
                <w:sz w:val="19"/>
              </w:rPr>
              <w:t>Filtration + surveillance</w:t>
            </w:r>
          </w:p>
        </w:tc>
        <w:tc>
          <w:tcPr>
            <w:tcW w:w="1200" w:type="dxa"/>
            <w:tcMar>
              <w:top w:w="80" w:type="dxa"/>
              <w:left w:w="120" w:type="dxa"/>
              <w:bottom w:w="80" w:type="dxa"/>
              <w:right w:w="120" w:type="dxa"/>
            </w:tcMar>
          </w:tcPr>
          <w:p w14:paraId="71A734B5" w14:textId="77777777" w:rsidR="00CB697F" w:rsidRDefault="00CB697F">
            <w:pPr>
              <w:spacing w:after="0" w:line="264" w:lineRule="auto"/>
              <w:jc w:val="center"/>
            </w:pPr>
          </w:p>
        </w:tc>
      </w:tr>
      <w:tr w:rsidR="00CB697F" w14:paraId="7A38EF36" w14:textId="77777777">
        <w:tc>
          <w:tcPr>
            <w:tcW w:w="1300" w:type="dxa"/>
            <w:tcMar>
              <w:top w:w="80" w:type="dxa"/>
              <w:left w:w="120" w:type="dxa"/>
              <w:bottom w:w="80" w:type="dxa"/>
              <w:right w:w="120" w:type="dxa"/>
            </w:tcMar>
          </w:tcPr>
          <w:p w14:paraId="64C03A22" w14:textId="77777777" w:rsidR="00CB697F" w:rsidRDefault="00000000">
            <w:pPr>
              <w:spacing w:after="0" w:line="264" w:lineRule="auto"/>
              <w:jc w:val="center"/>
            </w:pPr>
            <w:r>
              <w:rPr>
                <w:color w:val="55706C"/>
                <w:sz w:val="19"/>
              </w:rPr>
              <w:t>…/…/……</w:t>
            </w:r>
          </w:p>
        </w:tc>
        <w:tc>
          <w:tcPr>
            <w:tcW w:w="1300" w:type="dxa"/>
            <w:tcMar>
              <w:top w:w="80" w:type="dxa"/>
              <w:left w:w="120" w:type="dxa"/>
              <w:bottom w:w="80" w:type="dxa"/>
              <w:right w:w="120" w:type="dxa"/>
            </w:tcMar>
          </w:tcPr>
          <w:p w14:paraId="3D83076A" w14:textId="77777777" w:rsidR="00CB697F" w:rsidRDefault="00000000">
            <w:pPr>
              <w:spacing w:after="0" w:line="264" w:lineRule="auto"/>
              <w:jc w:val="center"/>
            </w:pPr>
            <w:r>
              <w:rPr>
                <w:color w:val="55706C"/>
                <w:sz w:val="19"/>
              </w:rPr>
              <w:t>N° 2</w:t>
            </w:r>
          </w:p>
        </w:tc>
        <w:tc>
          <w:tcPr>
            <w:tcW w:w="1700" w:type="dxa"/>
            <w:tcMar>
              <w:top w:w="80" w:type="dxa"/>
              <w:left w:w="120" w:type="dxa"/>
              <w:bottom w:w="80" w:type="dxa"/>
              <w:right w:w="120" w:type="dxa"/>
            </w:tcMar>
          </w:tcPr>
          <w:p w14:paraId="66C037E9" w14:textId="77777777" w:rsidR="00CB697F" w:rsidRDefault="00000000">
            <w:pPr>
              <w:spacing w:after="0" w:line="264" w:lineRule="auto"/>
              <w:jc w:val="center"/>
            </w:pPr>
            <w:r>
              <w:rPr>
                <w:color w:val="55706C"/>
                <w:sz w:val="19"/>
              </w:rPr>
              <w:t>Testeur</w:t>
            </w:r>
          </w:p>
        </w:tc>
        <w:tc>
          <w:tcPr>
            <w:tcW w:w="1500" w:type="dxa"/>
            <w:tcMar>
              <w:top w:w="80" w:type="dxa"/>
              <w:left w:w="120" w:type="dxa"/>
              <w:bottom w:w="80" w:type="dxa"/>
              <w:right w:w="120" w:type="dxa"/>
            </w:tcMar>
          </w:tcPr>
          <w:p w14:paraId="772DCDA4" w14:textId="77777777" w:rsidR="00CB697F" w:rsidRDefault="00000000">
            <w:pPr>
              <w:spacing w:after="0" w:line="264" w:lineRule="auto"/>
              <w:jc w:val="center"/>
            </w:pPr>
            <w:r>
              <w:rPr>
                <w:color w:val="55706C"/>
                <w:sz w:val="19"/>
              </w:rPr>
              <w:t>24 % TPM</w:t>
            </w:r>
          </w:p>
        </w:tc>
        <w:tc>
          <w:tcPr>
            <w:tcW w:w="2026" w:type="dxa"/>
            <w:tcMar>
              <w:top w:w="80" w:type="dxa"/>
              <w:left w:w="120" w:type="dxa"/>
              <w:bottom w:w="80" w:type="dxa"/>
              <w:right w:w="120" w:type="dxa"/>
            </w:tcMar>
          </w:tcPr>
          <w:p w14:paraId="33371147" w14:textId="77777777" w:rsidR="00CB697F" w:rsidRDefault="00000000">
            <w:pPr>
              <w:spacing w:after="0" w:line="264" w:lineRule="auto"/>
            </w:pPr>
            <w:r>
              <w:rPr>
                <w:color w:val="55706C"/>
                <w:sz w:val="19"/>
              </w:rPr>
              <w:t>Remplacement de l'huile</w:t>
            </w:r>
          </w:p>
        </w:tc>
        <w:tc>
          <w:tcPr>
            <w:tcW w:w="1200" w:type="dxa"/>
            <w:tcMar>
              <w:top w:w="80" w:type="dxa"/>
              <w:left w:w="120" w:type="dxa"/>
              <w:bottom w:w="80" w:type="dxa"/>
              <w:right w:w="120" w:type="dxa"/>
            </w:tcMar>
          </w:tcPr>
          <w:p w14:paraId="629E9EA4" w14:textId="77777777" w:rsidR="00CB697F" w:rsidRDefault="00CB697F">
            <w:pPr>
              <w:spacing w:after="0" w:line="264" w:lineRule="auto"/>
              <w:jc w:val="center"/>
            </w:pPr>
          </w:p>
        </w:tc>
      </w:tr>
      <w:tr w:rsidR="00CB697F" w14:paraId="59191EE0" w14:textId="77777777">
        <w:tc>
          <w:tcPr>
            <w:tcW w:w="1300" w:type="dxa"/>
            <w:tcMar>
              <w:top w:w="80" w:type="dxa"/>
              <w:left w:w="120" w:type="dxa"/>
              <w:bottom w:w="80" w:type="dxa"/>
              <w:right w:w="120" w:type="dxa"/>
            </w:tcMar>
          </w:tcPr>
          <w:p w14:paraId="753DF18F" w14:textId="77777777" w:rsidR="00CB697F" w:rsidRDefault="00000000">
            <w:pPr>
              <w:spacing w:after="0" w:line="264" w:lineRule="auto"/>
              <w:jc w:val="center"/>
            </w:pPr>
            <w:r>
              <w:rPr>
                <w:color w:val="55706C"/>
                <w:sz w:val="19"/>
              </w:rPr>
              <w:t>…/…/……</w:t>
            </w:r>
          </w:p>
        </w:tc>
        <w:tc>
          <w:tcPr>
            <w:tcW w:w="1300" w:type="dxa"/>
            <w:tcMar>
              <w:top w:w="80" w:type="dxa"/>
              <w:left w:w="120" w:type="dxa"/>
              <w:bottom w:w="80" w:type="dxa"/>
              <w:right w:w="120" w:type="dxa"/>
            </w:tcMar>
          </w:tcPr>
          <w:p w14:paraId="64690065" w14:textId="77777777" w:rsidR="00CB697F" w:rsidRDefault="00CB697F">
            <w:pPr>
              <w:spacing w:after="0" w:line="264" w:lineRule="auto"/>
              <w:jc w:val="center"/>
            </w:pPr>
          </w:p>
        </w:tc>
        <w:tc>
          <w:tcPr>
            <w:tcW w:w="1700" w:type="dxa"/>
            <w:tcMar>
              <w:top w:w="80" w:type="dxa"/>
              <w:left w:w="120" w:type="dxa"/>
              <w:bottom w:w="80" w:type="dxa"/>
              <w:right w:w="120" w:type="dxa"/>
            </w:tcMar>
          </w:tcPr>
          <w:p w14:paraId="2B410FDD" w14:textId="77777777" w:rsidR="00CB697F" w:rsidRDefault="00CB697F">
            <w:pPr>
              <w:spacing w:after="0" w:line="264" w:lineRule="auto"/>
              <w:jc w:val="center"/>
            </w:pPr>
          </w:p>
        </w:tc>
        <w:tc>
          <w:tcPr>
            <w:tcW w:w="1500" w:type="dxa"/>
            <w:tcMar>
              <w:top w:w="80" w:type="dxa"/>
              <w:left w:w="120" w:type="dxa"/>
              <w:bottom w:w="80" w:type="dxa"/>
              <w:right w:w="120" w:type="dxa"/>
            </w:tcMar>
          </w:tcPr>
          <w:p w14:paraId="7A0A5DB5" w14:textId="77777777" w:rsidR="00CB697F" w:rsidRDefault="00CB697F">
            <w:pPr>
              <w:spacing w:after="0" w:line="264" w:lineRule="auto"/>
              <w:jc w:val="center"/>
            </w:pPr>
          </w:p>
        </w:tc>
        <w:tc>
          <w:tcPr>
            <w:tcW w:w="2026" w:type="dxa"/>
            <w:tcMar>
              <w:top w:w="80" w:type="dxa"/>
              <w:left w:w="120" w:type="dxa"/>
              <w:bottom w:w="80" w:type="dxa"/>
              <w:right w:w="120" w:type="dxa"/>
            </w:tcMar>
          </w:tcPr>
          <w:p w14:paraId="7AB9F371" w14:textId="77777777" w:rsidR="00CB697F" w:rsidRDefault="00CB697F">
            <w:pPr>
              <w:spacing w:after="0" w:line="264" w:lineRule="auto"/>
            </w:pPr>
          </w:p>
        </w:tc>
        <w:tc>
          <w:tcPr>
            <w:tcW w:w="1200" w:type="dxa"/>
            <w:tcMar>
              <w:top w:w="80" w:type="dxa"/>
              <w:left w:w="120" w:type="dxa"/>
              <w:bottom w:w="80" w:type="dxa"/>
              <w:right w:w="120" w:type="dxa"/>
            </w:tcMar>
          </w:tcPr>
          <w:p w14:paraId="4ABD3EA5" w14:textId="77777777" w:rsidR="00CB697F" w:rsidRDefault="00CB697F">
            <w:pPr>
              <w:spacing w:after="0" w:line="264" w:lineRule="auto"/>
              <w:jc w:val="center"/>
            </w:pPr>
          </w:p>
        </w:tc>
      </w:tr>
      <w:tr w:rsidR="00CB697F" w14:paraId="441DF195" w14:textId="77777777">
        <w:tc>
          <w:tcPr>
            <w:tcW w:w="1300" w:type="dxa"/>
            <w:tcMar>
              <w:top w:w="80" w:type="dxa"/>
              <w:left w:w="120" w:type="dxa"/>
              <w:bottom w:w="80" w:type="dxa"/>
              <w:right w:w="120" w:type="dxa"/>
            </w:tcMar>
          </w:tcPr>
          <w:p w14:paraId="33C25689" w14:textId="77777777" w:rsidR="00CB697F" w:rsidRDefault="00000000">
            <w:pPr>
              <w:spacing w:after="0" w:line="264" w:lineRule="auto"/>
              <w:jc w:val="center"/>
            </w:pPr>
            <w:r>
              <w:rPr>
                <w:color w:val="55706C"/>
                <w:sz w:val="19"/>
              </w:rPr>
              <w:t>…/…/……</w:t>
            </w:r>
          </w:p>
        </w:tc>
        <w:tc>
          <w:tcPr>
            <w:tcW w:w="1300" w:type="dxa"/>
            <w:tcMar>
              <w:top w:w="80" w:type="dxa"/>
              <w:left w:w="120" w:type="dxa"/>
              <w:bottom w:w="80" w:type="dxa"/>
              <w:right w:w="120" w:type="dxa"/>
            </w:tcMar>
          </w:tcPr>
          <w:p w14:paraId="417E9378" w14:textId="77777777" w:rsidR="00CB697F" w:rsidRDefault="00CB697F">
            <w:pPr>
              <w:spacing w:after="0" w:line="264" w:lineRule="auto"/>
              <w:jc w:val="center"/>
            </w:pPr>
          </w:p>
        </w:tc>
        <w:tc>
          <w:tcPr>
            <w:tcW w:w="1700" w:type="dxa"/>
            <w:tcMar>
              <w:top w:w="80" w:type="dxa"/>
              <w:left w:w="120" w:type="dxa"/>
              <w:bottom w:w="80" w:type="dxa"/>
              <w:right w:w="120" w:type="dxa"/>
            </w:tcMar>
          </w:tcPr>
          <w:p w14:paraId="2FEC4A4C" w14:textId="77777777" w:rsidR="00CB697F" w:rsidRDefault="00CB697F">
            <w:pPr>
              <w:spacing w:after="0" w:line="264" w:lineRule="auto"/>
              <w:jc w:val="center"/>
            </w:pPr>
          </w:p>
        </w:tc>
        <w:tc>
          <w:tcPr>
            <w:tcW w:w="1500" w:type="dxa"/>
            <w:tcMar>
              <w:top w:w="80" w:type="dxa"/>
              <w:left w:w="120" w:type="dxa"/>
              <w:bottom w:w="80" w:type="dxa"/>
              <w:right w:w="120" w:type="dxa"/>
            </w:tcMar>
          </w:tcPr>
          <w:p w14:paraId="16EB0813" w14:textId="77777777" w:rsidR="00CB697F" w:rsidRDefault="00CB697F">
            <w:pPr>
              <w:spacing w:after="0" w:line="264" w:lineRule="auto"/>
              <w:jc w:val="center"/>
            </w:pPr>
          </w:p>
        </w:tc>
        <w:tc>
          <w:tcPr>
            <w:tcW w:w="2026" w:type="dxa"/>
            <w:tcMar>
              <w:top w:w="80" w:type="dxa"/>
              <w:left w:w="120" w:type="dxa"/>
              <w:bottom w:w="80" w:type="dxa"/>
              <w:right w:w="120" w:type="dxa"/>
            </w:tcMar>
          </w:tcPr>
          <w:p w14:paraId="51A178CC" w14:textId="77777777" w:rsidR="00CB697F" w:rsidRDefault="00CB697F">
            <w:pPr>
              <w:spacing w:after="0" w:line="264" w:lineRule="auto"/>
            </w:pPr>
          </w:p>
        </w:tc>
        <w:tc>
          <w:tcPr>
            <w:tcW w:w="1200" w:type="dxa"/>
            <w:tcMar>
              <w:top w:w="80" w:type="dxa"/>
              <w:left w:w="120" w:type="dxa"/>
              <w:bottom w:w="80" w:type="dxa"/>
              <w:right w:w="120" w:type="dxa"/>
            </w:tcMar>
          </w:tcPr>
          <w:p w14:paraId="3AA41748" w14:textId="77777777" w:rsidR="00CB697F" w:rsidRDefault="00CB697F">
            <w:pPr>
              <w:spacing w:after="0" w:line="264" w:lineRule="auto"/>
              <w:jc w:val="center"/>
            </w:pPr>
          </w:p>
        </w:tc>
      </w:tr>
    </w:tbl>
    <w:p w14:paraId="4BC9C575" w14:textId="77777777" w:rsidR="00CB697F" w:rsidRDefault="00000000">
      <w:pPr>
        <w:pStyle w:val="Lgende"/>
      </w:pPr>
      <w:r>
        <w:t>Exemple de registre de contrôle — à dupliquer dans le classeur HACCP de l'établissement.</w:t>
      </w:r>
    </w:p>
    <w:p w14:paraId="16A8FBAA" w14:textId="77777777" w:rsidR="00CB697F" w:rsidRDefault="00000000">
      <w:pPr>
        <w:pStyle w:val="Titre1"/>
      </w:pPr>
      <w:r>
        <w:t>7. Bonnes pratiques pour prolonger la durée de vie de l'huile</w:t>
      </w:r>
    </w:p>
    <w:p w14:paraId="6BCB5A48" w14:textId="77777777" w:rsidR="00CB697F" w:rsidRDefault="00000000">
      <w:pPr>
        <w:numPr>
          <w:ilvl w:val="0"/>
          <w:numId w:val="2"/>
        </w:numPr>
        <w:spacing w:after="100"/>
      </w:pPr>
      <w:r>
        <w:t>Filtrer l'huile quotidiennement (après refroidissement partiel) pour éliminer miettes et particules carbonisées.</w:t>
      </w:r>
    </w:p>
    <w:p w14:paraId="73537ED4" w14:textId="77777777" w:rsidR="00CB697F" w:rsidRDefault="00000000">
      <w:pPr>
        <w:numPr>
          <w:ilvl w:val="0"/>
          <w:numId w:val="2"/>
        </w:numPr>
        <w:spacing w:after="100"/>
      </w:pPr>
      <w:r>
        <w:t>Ne jamais dépasser 175–180 °C : chaque degré supplémentaire accélère fortement l'oxydation.</w:t>
      </w:r>
    </w:p>
    <w:p w14:paraId="653582D3" w14:textId="77777777" w:rsidR="00CB697F" w:rsidRDefault="00000000">
      <w:pPr>
        <w:numPr>
          <w:ilvl w:val="0"/>
          <w:numId w:val="2"/>
        </w:numPr>
        <w:spacing w:after="100"/>
      </w:pPr>
      <w:r>
        <w:t>Écumer régulièrement la surface pendant le service.</w:t>
      </w:r>
    </w:p>
    <w:p w14:paraId="50E8C393" w14:textId="77777777" w:rsidR="00CB697F" w:rsidRDefault="00000000">
      <w:pPr>
        <w:numPr>
          <w:ilvl w:val="0"/>
          <w:numId w:val="2"/>
        </w:numPr>
        <w:spacing w:after="100"/>
      </w:pPr>
      <w:r>
        <w:t>Saler et assaisonner les produits loin de la friteuse, jamais au-dessus du bain.</w:t>
      </w:r>
    </w:p>
    <w:p w14:paraId="0CA3BFF6" w14:textId="77777777" w:rsidR="00CB697F" w:rsidRDefault="00000000">
      <w:pPr>
        <w:numPr>
          <w:ilvl w:val="0"/>
          <w:numId w:val="2"/>
        </w:numPr>
        <w:spacing w:after="100"/>
      </w:pPr>
      <w:r>
        <w:t>Bien égoutter et essorer les aliments (surtout surgelés) avant immersion : l'eau accélère l'hydrolyse.</w:t>
      </w:r>
    </w:p>
    <w:p w14:paraId="010806E1" w14:textId="77777777" w:rsidR="00CB697F" w:rsidRDefault="00000000">
      <w:pPr>
        <w:numPr>
          <w:ilvl w:val="0"/>
          <w:numId w:val="2"/>
        </w:numPr>
        <w:spacing w:after="100"/>
      </w:pPr>
      <w:r>
        <w:t>Couvrir la friteuse hors service et l'éteindre pendant les creux : l'oxygène et la chaleur de maintien dégradent l'huile.</w:t>
      </w:r>
    </w:p>
    <w:p w14:paraId="2BFC964B" w14:textId="77777777" w:rsidR="00CB697F" w:rsidRDefault="00000000">
      <w:pPr>
        <w:numPr>
          <w:ilvl w:val="0"/>
          <w:numId w:val="2"/>
        </w:numPr>
        <w:spacing w:after="100"/>
      </w:pPr>
      <w:r>
        <w:t>Compléter le niveau avec de l'huile neuve de même nature ; ne jamais mélanger des huiles de types différents.</w:t>
      </w:r>
    </w:p>
    <w:p w14:paraId="141E89B3" w14:textId="77777777" w:rsidR="00CB697F" w:rsidRDefault="00000000">
      <w:pPr>
        <w:numPr>
          <w:ilvl w:val="0"/>
          <w:numId w:val="2"/>
        </w:numPr>
        <w:spacing w:after="100"/>
      </w:pPr>
      <w:r>
        <w:t>Nettoyer régulièrement la cuve : les dépôts carbonisés contaminent l'huile fraîche.</w:t>
      </w:r>
    </w:p>
    <w:p w14:paraId="72955DD2" w14:textId="77777777" w:rsidR="00CB697F" w:rsidRDefault="00000000">
      <w:pPr>
        <w:pStyle w:val="Titre1"/>
      </w:pPr>
      <w:r>
        <w:t>8. Sécurité du personnel</w:t>
      </w:r>
    </w:p>
    <w:p w14:paraId="673D35EA" w14:textId="77777777" w:rsidR="00CB697F" w:rsidRDefault="00000000">
      <w:pPr>
        <w:numPr>
          <w:ilvl w:val="0"/>
          <w:numId w:val="2"/>
        </w:numPr>
        <w:spacing w:after="100"/>
      </w:pPr>
      <w:r>
        <w:t>Toujours porter des gants de protection et des vêtements couvrants lors des contrôles et manipulations d'huile chaude.</w:t>
      </w:r>
    </w:p>
    <w:p w14:paraId="324A348A" w14:textId="77777777" w:rsidR="00CB697F" w:rsidRDefault="00000000">
      <w:pPr>
        <w:numPr>
          <w:ilvl w:val="0"/>
          <w:numId w:val="2"/>
        </w:numPr>
        <w:spacing w:after="100"/>
      </w:pPr>
      <w:r>
        <w:t>Ne jamais déplacer ni transvaser un bain d'huile chaude ; attendre le refroidissement pour toute vidange.</w:t>
      </w:r>
    </w:p>
    <w:p w14:paraId="63CE6680" w14:textId="77777777" w:rsidR="00CB697F" w:rsidRDefault="00000000">
      <w:pPr>
        <w:numPr>
          <w:ilvl w:val="0"/>
          <w:numId w:val="2"/>
        </w:numPr>
        <w:spacing w:after="100"/>
      </w:pPr>
      <w:r>
        <w:t>Ne jamais verser d'huile usagée dans l'évier ni les canalisations : la recueillir dans le bidon dédié, remis à un collecteur agréé.</w:t>
      </w:r>
    </w:p>
    <w:p w14:paraId="003F2A93" w14:textId="77777777" w:rsidR="00CB697F" w:rsidRDefault="00000000">
      <w:pPr>
        <w:numPr>
          <w:ilvl w:val="0"/>
          <w:numId w:val="2"/>
        </w:numPr>
        <w:spacing w:after="100"/>
      </w:pPr>
      <w:r>
        <w:t>Conserver les bandelettes dans leur flacon fermé, à l'abri de la chaleur, de la lumière et de l'humidité, et vérifier la date de péremption.</w:t>
      </w:r>
    </w:p>
    <w:p w14:paraId="1250F65D" w14:textId="77777777" w:rsidR="00CB697F" w:rsidRDefault="00000000">
      <w:pPr>
        <w:pBdr>
          <w:top w:val="single" w:sz="6" w:space="6" w:color="C9DAD6"/>
        </w:pBdr>
        <w:spacing w:before="600"/>
      </w:pPr>
      <w:r>
        <w:rPr>
          <w:color w:val="8AA39F"/>
          <w:sz w:val="17"/>
        </w:rPr>
        <w:lastRenderedPageBreak/>
        <w:t xml:space="preserve">MEMO 05 — Contrôle des huiles de </w:t>
      </w:r>
      <w:proofErr w:type="gramStart"/>
      <w:r>
        <w:rPr>
          <w:color w:val="8AA39F"/>
          <w:sz w:val="17"/>
        </w:rPr>
        <w:t>friture  ·</w:t>
      </w:r>
      <w:proofErr w:type="gramEnd"/>
      <w:r>
        <w:rPr>
          <w:color w:val="8AA39F"/>
          <w:sz w:val="17"/>
        </w:rPr>
        <w:t xml:space="preserve">  Document interne d'hygiène et de sécurité alimentaire (</w:t>
      </w:r>
      <w:proofErr w:type="gramStart"/>
      <w:r>
        <w:rPr>
          <w:color w:val="8AA39F"/>
          <w:sz w:val="17"/>
        </w:rPr>
        <w:t>HACCP)  ·</w:t>
      </w:r>
      <w:proofErr w:type="gramEnd"/>
      <w:r>
        <w:rPr>
          <w:color w:val="8AA39F"/>
          <w:sz w:val="17"/>
        </w:rPr>
        <w:t xml:space="preserve">  À relire et mettre à jour annuellement.</w:t>
      </w:r>
    </w:p>
    <w:sectPr w:rsidR="00CB697F">
      <w:headerReference w:type="default" r:id="rId9"/>
      <w:footerReference w:type="default" r:id="rId1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8D035" w14:textId="77777777" w:rsidR="003564A0" w:rsidRDefault="003564A0">
      <w:pPr>
        <w:spacing w:after="0" w:line="240" w:lineRule="auto"/>
      </w:pPr>
      <w:r>
        <w:separator/>
      </w:r>
    </w:p>
  </w:endnote>
  <w:endnote w:type="continuationSeparator" w:id="0">
    <w:p w14:paraId="6E19F9D9" w14:textId="77777777" w:rsidR="003564A0" w:rsidRDefault="00356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8407" w14:textId="77777777" w:rsidR="00CB697F" w:rsidRDefault="00000000">
    <w:pPr>
      <w:jc w:val="center"/>
    </w:pPr>
    <w:r>
      <w:rPr>
        <w:color w:val="8AA39F"/>
        <w:sz w:val="17"/>
      </w:rPr>
      <w:fldChar w:fldCharType="begin"/>
    </w:r>
    <w:r>
      <w:rPr>
        <w:color w:val="8AA39F"/>
        <w:sz w:val="17"/>
      </w:rPr>
      <w:instrText xml:space="preserve"> PAGE </w:instrText>
    </w:r>
    <w:r>
      <w:rPr>
        <w:color w:val="8AA39F"/>
        <w:sz w:val="17"/>
      </w:rPr>
      <w:fldChar w:fldCharType="separate"/>
    </w:r>
    <w:r>
      <w:rPr>
        <w:color w:val="8AA39F"/>
        <w:sz w:val="17"/>
      </w:rPr>
      <w:t>1</w:t>
    </w:r>
    <w:r>
      <w:rPr>
        <w:color w:val="8AA39F"/>
        <w:sz w:val="17"/>
      </w:rPr>
      <w:fldChar w:fldCharType="end"/>
    </w:r>
    <w:r>
      <w:rPr>
        <w:color w:val="8AA39F"/>
        <w:sz w:val="17"/>
      </w:rPr>
      <w:t xml:space="preserve"> / </w:t>
    </w:r>
    <w:r>
      <w:rPr>
        <w:color w:val="8AA39F"/>
        <w:sz w:val="17"/>
      </w:rPr>
      <w:fldChar w:fldCharType="begin"/>
    </w:r>
    <w:r>
      <w:rPr>
        <w:color w:val="8AA39F"/>
        <w:sz w:val="17"/>
      </w:rPr>
      <w:instrText xml:space="preserve"> NUMPAGES </w:instrText>
    </w:r>
    <w:r>
      <w:rPr>
        <w:color w:val="8AA39F"/>
        <w:sz w:val="17"/>
      </w:rPr>
      <w:fldChar w:fldCharType="separate"/>
    </w:r>
    <w:r>
      <w:rPr>
        <w:color w:val="8AA39F"/>
        <w:sz w:val="17"/>
      </w:rPr>
      <w:t>2</w:t>
    </w:r>
    <w:r>
      <w:rPr>
        <w:color w:val="8AA39F"/>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B7E6B" w14:textId="77777777" w:rsidR="003564A0" w:rsidRDefault="003564A0">
      <w:pPr>
        <w:spacing w:after="0" w:line="240" w:lineRule="auto"/>
      </w:pPr>
      <w:r>
        <w:separator/>
      </w:r>
    </w:p>
  </w:footnote>
  <w:footnote w:type="continuationSeparator" w:id="0">
    <w:p w14:paraId="66C322D6" w14:textId="77777777" w:rsidR="003564A0" w:rsidRDefault="00356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5EC8" w14:textId="26F2A53B" w:rsidR="00CB697F" w:rsidRDefault="00D70C34">
    <w:pPr>
      <w:pBdr>
        <w:bottom w:val="single" w:sz="6" w:space="4" w:color="C9DAD6"/>
      </w:pBdr>
      <w:jc w:val="right"/>
    </w:pPr>
    <w:r w:rsidRPr="00786165">
      <w:rPr>
        <w:noProof/>
        <w:color w:val="7A8894"/>
        <w:sz w:val="17"/>
      </w:rPr>
      <w:drawing>
        <wp:anchor distT="0" distB="0" distL="114300" distR="114300" simplePos="0" relativeHeight="251659264" behindDoc="1" locked="0" layoutInCell="1" allowOverlap="1" wp14:anchorId="45B98739" wp14:editId="58BB8AD3">
          <wp:simplePos x="0" y="0"/>
          <wp:positionH relativeFrom="column">
            <wp:posOffset>-571500</wp:posOffset>
          </wp:positionH>
          <wp:positionV relativeFrom="page">
            <wp:posOffset>114300</wp:posOffset>
          </wp:positionV>
          <wp:extent cx="781050" cy="443865"/>
          <wp:effectExtent l="0" t="0" r="0" b="0"/>
          <wp:wrapTight wrapText="bothSides">
            <wp:wrapPolygon edited="0">
              <wp:start x="8956" y="0"/>
              <wp:lineTo x="5795" y="0"/>
              <wp:lineTo x="1580" y="9270"/>
              <wp:lineTo x="1580" y="16687"/>
              <wp:lineTo x="4215" y="20395"/>
              <wp:lineTo x="5268" y="20395"/>
              <wp:lineTo x="14751" y="20395"/>
              <wp:lineTo x="16332" y="20395"/>
              <wp:lineTo x="19493" y="16687"/>
              <wp:lineTo x="19493" y="8343"/>
              <wp:lineTo x="15805" y="0"/>
              <wp:lineTo x="12117" y="0"/>
              <wp:lineTo x="8956" y="0"/>
            </wp:wrapPolygon>
          </wp:wrapTight>
          <wp:docPr id="5" name="Image 4">
            <a:extLst xmlns:a="http://schemas.openxmlformats.org/drawingml/2006/main">
              <a:ext uri="{FF2B5EF4-FFF2-40B4-BE49-F238E27FC236}">
                <a16:creationId xmlns:a16="http://schemas.microsoft.com/office/drawing/2014/main" id="{94E5D477-0251-4AE3-4569-F74B32FE7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4E5D477-0251-4AE3-4569-F74B32FE7011}"/>
                      </a:ext>
                    </a:extLst>
                  </pic:cNvPr>
                  <pic:cNvPicPr>
                    <a:picLocks noChangeAspect="1"/>
                  </pic:cNvPicPr>
                </pic:nvPicPr>
                <pic:blipFill>
                  <a:blip r:embed="rId1">
                    <a:extLst>
                      <a:ext uri="{28A0092B-C50C-407E-A947-70E740481C1C}">
                        <a14:useLocalDpi xmlns:a14="http://schemas.microsoft.com/office/drawing/2010/main" val="0"/>
                      </a:ext>
                    </a:extLst>
                  </a:blip>
                  <a:srcRect t="20317" b="23333"/>
                  <a:stretch>
                    <a:fillRect/>
                  </a:stretch>
                </pic:blipFill>
                <pic:spPr>
                  <a:xfrm>
                    <a:off x="0" y="0"/>
                    <a:ext cx="781050" cy="443865"/>
                  </a:xfrm>
                  <a:prstGeom prst="rect">
                    <a:avLst/>
                  </a:prstGeom>
                </pic:spPr>
              </pic:pic>
            </a:graphicData>
          </a:graphic>
          <wp14:sizeRelH relativeFrom="margin">
            <wp14:pctWidth>0</wp14:pctWidth>
          </wp14:sizeRelH>
          <wp14:sizeRelV relativeFrom="margin">
            <wp14:pctHeight>0</wp14:pctHeight>
          </wp14:sizeRelV>
        </wp:anchor>
      </w:drawing>
    </w:r>
    <w:r w:rsidR="00000000">
      <w:rPr>
        <w:color w:val="8AA39F"/>
        <w:sz w:val="17"/>
      </w:rPr>
      <w:t xml:space="preserve">MEMO N° </w:t>
    </w:r>
    <w:proofErr w:type="gramStart"/>
    <w:r w:rsidR="00000000">
      <w:rPr>
        <w:color w:val="8AA39F"/>
        <w:sz w:val="17"/>
      </w:rPr>
      <w:t>05  ·</w:t>
    </w:r>
    <w:proofErr w:type="gramEnd"/>
    <w:r w:rsidR="00000000">
      <w:rPr>
        <w:color w:val="8AA39F"/>
        <w:sz w:val="17"/>
      </w:rPr>
      <w:t xml:space="preserve">  HYGIÈNE &amp; SÉCURITÉ ALIMENTAIRE EN </w:t>
    </w:r>
    <w:proofErr w:type="gramStart"/>
    <w:r w:rsidR="00000000">
      <w:rPr>
        <w:color w:val="8AA39F"/>
        <w:sz w:val="17"/>
      </w:rPr>
      <w:t>CHR  ·</w:t>
    </w:r>
    <w:proofErr w:type="gramEnd"/>
    <w:r w:rsidR="00000000">
      <w:rPr>
        <w:color w:val="8AA39F"/>
        <w:sz w:val="17"/>
      </w:rPr>
      <w:t xml:space="preserve">  HACCP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F4EA3"/>
    <w:multiLevelType w:val="multilevel"/>
    <w:tmpl w:val="1242B460"/>
    <w:lvl w:ilvl="0">
      <w:numFmt w:val="bullet"/>
      <w:lvlText w:val="•"/>
      <w:lvlJc w:val="left"/>
      <w:pPr>
        <w:ind w:left="520" w:hanging="32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E1C6ECA"/>
    <w:multiLevelType w:val="multilevel"/>
    <w:tmpl w:val="FBA80A30"/>
    <w:lvl w:ilvl="0">
      <w:start w:val="1"/>
      <w:numFmt w:val="decimal"/>
      <w:lvlText w:val="%1."/>
      <w:lvlJc w:val="left"/>
      <w:pPr>
        <w:ind w:left="520" w:hanging="3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53088936">
    <w:abstractNumId w:val="1"/>
  </w:num>
  <w:num w:numId="2" w16cid:durableId="1950433626">
    <w:abstractNumId w:val="0"/>
  </w:num>
  <w:num w:numId="3" w16cid:durableId="170887638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97F"/>
    <w:rsid w:val="002A106A"/>
    <w:rsid w:val="003564A0"/>
    <w:rsid w:val="00496364"/>
    <w:rsid w:val="0061173C"/>
    <w:rsid w:val="00C14B7E"/>
    <w:rsid w:val="00CB697F"/>
    <w:rsid w:val="00D70C34"/>
  </w:rsids>
  <m:mathPr>
    <m:mathFont m:val="Cambria Math"/>
    <m:brkBin m:val="before"/>
    <m:brkBinSub m:val="--"/>
    <m:smallFrac m:val="0"/>
    <m:dispDef/>
    <m:lMargin m:val="0"/>
    <m:rMargin m:val="0"/>
    <m:defJc m:val="centerGroup"/>
    <m:wrapIndent m:val="1440"/>
    <m:intLim m:val="subSup"/>
    <m:naryLim m:val="undOvr"/>
  </m:mathPr>
  <w:themeFontLang w:val="fr-M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3CB77"/>
  <w15:docId w15:val="{A844A542-39C3-4C8F-9E3F-9E342B96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MA" w:eastAsia="fr-M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rPr>
      <w:rFonts w:ascii="Calibri" w:hAnsi="Calibri"/>
      <w:color w:val="2E3D3B"/>
      <w:sz w:val="21"/>
    </w:rPr>
  </w:style>
  <w:style w:type="paragraph" w:styleId="Titre1">
    <w:name w:val="heading 1"/>
    <w:basedOn w:val="Normal"/>
    <w:uiPriority w:val="9"/>
    <w:qFormat/>
    <w:pPr>
      <w:keepNext/>
      <w:keepLines/>
      <w:pBdr>
        <w:bottom w:val="single" w:sz="8" w:space="4" w:color="1F6B66"/>
      </w:pBdr>
      <w:spacing w:before="480"/>
      <w:outlineLvl w:val="0"/>
    </w:pPr>
    <w:rPr>
      <w:b/>
      <w:color w:val="1F6B66"/>
      <w:sz w:val="30"/>
    </w:rPr>
  </w:style>
  <w:style w:type="paragraph" w:styleId="Titre2">
    <w:name w:val="heading 2"/>
    <w:basedOn w:val="Normal"/>
    <w:uiPriority w:val="9"/>
    <w:unhideWhenUsed/>
    <w:qFormat/>
    <w:pPr>
      <w:keepNext/>
      <w:keepLines/>
      <w:spacing w:before="280" w:after="120"/>
      <w:outlineLvl w:val="1"/>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pPr>
      <w:spacing w:before="60" w:after="320"/>
      <w:jc w:val="center"/>
    </w:pPr>
    <w:rPr>
      <w:i/>
      <w:color w:val="8AA39F"/>
      <w:sz w:val="19"/>
    </w:rPr>
  </w:style>
  <w:style w:type="paragraph" w:styleId="En-tte">
    <w:name w:val="header"/>
    <w:basedOn w:val="Normal"/>
    <w:link w:val="En-tteCar"/>
    <w:uiPriority w:val="99"/>
    <w:unhideWhenUsed/>
    <w:rsid w:val="00D70C34"/>
    <w:pPr>
      <w:tabs>
        <w:tab w:val="center" w:pos="4536"/>
        <w:tab w:val="right" w:pos="9072"/>
      </w:tabs>
      <w:spacing w:after="0" w:line="240" w:lineRule="auto"/>
    </w:pPr>
  </w:style>
  <w:style w:type="character" w:customStyle="1" w:styleId="En-tteCar">
    <w:name w:val="En-tête Car"/>
    <w:basedOn w:val="Policepardfaut"/>
    <w:link w:val="En-tte"/>
    <w:uiPriority w:val="99"/>
    <w:rsid w:val="00D70C34"/>
    <w:rPr>
      <w:rFonts w:ascii="Calibri" w:hAnsi="Calibri"/>
      <w:color w:val="2E3D3B"/>
      <w:sz w:val="21"/>
    </w:rPr>
  </w:style>
  <w:style w:type="paragraph" w:styleId="Pieddepage">
    <w:name w:val="footer"/>
    <w:basedOn w:val="Normal"/>
    <w:link w:val="PieddepageCar"/>
    <w:uiPriority w:val="99"/>
    <w:unhideWhenUsed/>
    <w:rsid w:val="00D70C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0C34"/>
    <w:rPr>
      <w:rFonts w:ascii="Calibri" w:hAnsi="Calibri"/>
      <w:color w:val="2E3D3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1188</Words>
  <Characters>6540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Abdelmalak BERROUCH</cp:lastModifiedBy>
  <cp:revision>3</cp:revision>
  <dcterms:created xsi:type="dcterms:W3CDTF">2026-08-20T13:12:00Z</dcterms:created>
  <dcterms:modified xsi:type="dcterms:W3CDTF">2026-10-08T13:29:00Z</dcterms:modified>
</cp:coreProperties>
</file>